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673D" w14:textId="77777777" w:rsidR="00727785" w:rsidRPr="00727785" w:rsidRDefault="00727785" w:rsidP="00727785">
      <w:pPr>
        <w:jc w:val="center"/>
        <w:rPr>
          <w:rFonts w:ascii="Arial" w:hAnsi="Arial" w:cs="Arial"/>
          <w:b/>
          <w:spacing w:val="-5"/>
          <w:szCs w:val="24"/>
        </w:rPr>
      </w:pPr>
      <w:bookmarkStart w:id="0" w:name="_GoBack"/>
      <w:bookmarkEnd w:id="0"/>
      <w:r w:rsidRPr="00727785">
        <w:rPr>
          <w:rFonts w:ascii="Arial" w:hAnsi="Arial" w:cs="Arial"/>
          <w:b/>
          <w:spacing w:val="-5"/>
          <w:szCs w:val="24"/>
        </w:rPr>
        <w:t>State of New Jersey</w:t>
      </w:r>
    </w:p>
    <w:p w14:paraId="50B44BDA" w14:textId="77777777" w:rsidR="00727785" w:rsidRPr="00727785" w:rsidRDefault="00727785" w:rsidP="00727785">
      <w:pPr>
        <w:jc w:val="center"/>
        <w:rPr>
          <w:rFonts w:ascii="Arial" w:hAnsi="Arial" w:cs="Arial"/>
          <w:b/>
          <w:spacing w:val="-5"/>
          <w:szCs w:val="24"/>
        </w:rPr>
      </w:pPr>
      <w:r w:rsidRPr="00727785">
        <w:rPr>
          <w:rFonts w:ascii="Arial" w:hAnsi="Arial" w:cs="Arial"/>
          <w:b/>
          <w:spacing w:val="-5"/>
          <w:szCs w:val="24"/>
        </w:rPr>
        <w:t>Office of Information Technology</w:t>
      </w:r>
    </w:p>
    <w:p w14:paraId="2FCEC8FB" w14:textId="77777777" w:rsidR="00727785" w:rsidRPr="00727785" w:rsidRDefault="00727785" w:rsidP="00727785">
      <w:pPr>
        <w:jc w:val="center"/>
        <w:rPr>
          <w:rFonts w:ascii="Arial" w:hAnsi="Arial" w:cs="Arial"/>
          <w:b/>
          <w:spacing w:val="-5"/>
          <w:szCs w:val="24"/>
        </w:rPr>
      </w:pPr>
    </w:p>
    <w:p w14:paraId="2B011668" w14:textId="77777777" w:rsidR="00727785" w:rsidRPr="00727785" w:rsidRDefault="00727785" w:rsidP="00727785">
      <w:pPr>
        <w:jc w:val="center"/>
        <w:rPr>
          <w:rFonts w:ascii="Arial" w:hAnsi="Arial" w:cs="Arial"/>
          <w:b/>
          <w:spacing w:val="-5"/>
          <w:szCs w:val="24"/>
        </w:rPr>
      </w:pPr>
      <w:r w:rsidRPr="00727785">
        <w:rPr>
          <w:rFonts w:ascii="Arial" w:hAnsi="Arial" w:cs="Arial"/>
          <w:b/>
          <w:spacing w:val="-5"/>
          <w:szCs w:val="24"/>
        </w:rPr>
        <w:t>File Transfer Guide</w:t>
      </w:r>
    </w:p>
    <w:p w14:paraId="63C569B9" w14:textId="77777777" w:rsidR="00727785" w:rsidRPr="00727785" w:rsidRDefault="00727785" w:rsidP="00727785">
      <w:pPr>
        <w:rPr>
          <w:rFonts w:ascii="Helvetica" w:hAnsi="Helvetica"/>
          <w:spacing w:val="-5"/>
          <w:sz w:val="20"/>
        </w:rPr>
      </w:pPr>
    </w:p>
    <w:p w14:paraId="2775C529" w14:textId="77777777" w:rsidR="00727785" w:rsidRPr="00727785" w:rsidRDefault="00727785" w:rsidP="00727785">
      <w:pPr>
        <w:keepNext/>
        <w:tabs>
          <w:tab w:val="left" w:pos="0"/>
        </w:tabs>
        <w:suppressAutoHyphens/>
        <w:jc w:val="center"/>
        <w:outlineLvl w:val="2"/>
        <w:rPr>
          <w:rFonts w:ascii="Arial" w:hAnsi="Arial" w:cs="Arial"/>
          <w:b/>
          <w:bCs/>
          <w:lang w:val="x-none" w:eastAsia="x-none"/>
        </w:rPr>
      </w:pPr>
      <w:r w:rsidRPr="00727785">
        <w:rPr>
          <w:rFonts w:ascii="Arial" w:hAnsi="Arial" w:cs="Arial"/>
          <w:b/>
          <w:bCs/>
          <w:lang w:val="x-none" w:eastAsia="x-none"/>
        </w:rPr>
        <w:t>Extranet Plan</w:t>
      </w:r>
    </w:p>
    <w:p w14:paraId="6C197F66" w14:textId="77777777" w:rsidR="00727785" w:rsidRPr="00727785" w:rsidRDefault="00727785" w:rsidP="00727785">
      <w:pPr>
        <w:jc w:val="both"/>
        <w:rPr>
          <w:sz w:val="22"/>
          <w:szCs w:val="22"/>
        </w:rPr>
      </w:pPr>
    </w:p>
    <w:p w14:paraId="29394D2A" w14:textId="77777777" w:rsidR="00727785" w:rsidRPr="00727785" w:rsidRDefault="00727785" w:rsidP="00727785">
      <w:pPr>
        <w:jc w:val="both"/>
        <w:rPr>
          <w:rFonts w:ascii="Arial" w:hAnsi="Arial" w:cs="Arial"/>
          <w:sz w:val="22"/>
          <w:szCs w:val="22"/>
        </w:rPr>
      </w:pPr>
      <w:r w:rsidRPr="00727785">
        <w:rPr>
          <w:rFonts w:ascii="Arial" w:hAnsi="Arial" w:cs="Arial"/>
          <w:sz w:val="22"/>
          <w:szCs w:val="22"/>
        </w:rPr>
        <w:t>Extranet Use Cases</w:t>
      </w:r>
    </w:p>
    <w:p w14:paraId="16520752" w14:textId="77777777" w:rsidR="00727785" w:rsidRPr="00727785" w:rsidRDefault="00727785" w:rsidP="00727785">
      <w:pPr>
        <w:jc w:val="both"/>
        <w:rPr>
          <w:rFonts w:ascii="Arial" w:hAnsi="Arial" w:cs="Arial"/>
          <w:sz w:val="22"/>
          <w:szCs w:val="22"/>
        </w:rPr>
      </w:pPr>
    </w:p>
    <w:p w14:paraId="63EF9E11" w14:textId="77777777" w:rsidR="00727785" w:rsidRPr="00727785" w:rsidRDefault="00727785" w:rsidP="00727785">
      <w:pPr>
        <w:numPr>
          <w:ilvl w:val="0"/>
          <w:numId w:val="3"/>
        </w:numPr>
        <w:spacing w:after="240"/>
        <w:jc w:val="both"/>
        <w:rPr>
          <w:rFonts w:ascii="Arial" w:hAnsi="Arial" w:cs="Arial"/>
          <w:sz w:val="22"/>
          <w:szCs w:val="22"/>
        </w:rPr>
      </w:pPr>
      <w:r w:rsidRPr="00727785">
        <w:rPr>
          <w:rFonts w:ascii="Arial" w:hAnsi="Arial" w:cs="Arial"/>
          <w:sz w:val="22"/>
          <w:szCs w:val="22"/>
        </w:rPr>
        <w:t>The need arises that an external 3</w:t>
      </w:r>
      <w:r w:rsidRPr="00727785">
        <w:rPr>
          <w:rFonts w:ascii="Arial" w:hAnsi="Arial" w:cs="Arial"/>
          <w:sz w:val="22"/>
          <w:szCs w:val="22"/>
          <w:vertAlign w:val="superscript"/>
        </w:rPr>
        <w:t>rd</w:t>
      </w:r>
      <w:r w:rsidRPr="00727785">
        <w:rPr>
          <w:rFonts w:ascii="Arial" w:hAnsi="Arial" w:cs="Arial"/>
          <w:sz w:val="22"/>
          <w:szCs w:val="22"/>
        </w:rPr>
        <w:t xml:space="preserve"> party needs to initiate file transfers to a GSN Department or Agency.</w:t>
      </w:r>
    </w:p>
    <w:p w14:paraId="7A8FE4BD" w14:textId="77777777" w:rsidR="00727785" w:rsidRPr="00727785" w:rsidRDefault="00727785" w:rsidP="00727785">
      <w:pPr>
        <w:numPr>
          <w:ilvl w:val="0"/>
          <w:numId w:val="3"/>
        </w:numPr>
        <w:spacing w:after="240"/>
        <w:jc w:val="both"/>
        <w:rPr>
          <w:rFonts w:ascii="Arial" w:hAnsi="Arial" w:cs="Arial"/>
          <w:sz w:val="22"/>
          <w:szCs w:val="22"/>
        </w:rPr>
      </w:pPr>
      <w:r w:rsidRPr="00727785">
        <w:rPr>
          <w:rFonts w:ascii="Arial" w:hAnsi="Arial" w:cs="Arial"/>
          <w:sz w:val="22"/>
          <w:szCs w:val="22"/>
        </w:rPr>
        <w:t>Information Exchange between external parties needs to be secured or routed over a private connection.</w:t>
      </w:r>
    </w:p>
    <w:p w14:paraId="7D471C72" w14:textId="77777777" w:rsidR="00727785" w:rsidRPr="00727785" w:rsidRDefault="00727785" w:rsidP="00727785">
      <w:pPr>
        <w:numPr>
          <w:ilvl w:val="0"/>
          <w:numId w:val="3"/>
        </w:numPr>
        <w:spacing w:after="600"/>
        <w:jc w:val="both"/>
        <w:rPr>
          <w:rFonts w:ascii="Arial" w:hAnsi="Arial" w:cs="Arial"/>
          <w:sz w:val="22"/>
          <w:szCs w:val="22"/>
        </w:rPr>
      </w:pPr>
      <w:r w:rsidRPr="00727785">
        <w:rPr>
          <w:rFonts w:ascii="Arial" w:hAnsi="Arial" w:cs="Arial"/>
          <w:sz w:val="22"/>
          <w:szCs w:val="22"/>
        </w:rPr>
        <w:t>Vendors, 3</w:t>
      </w:r>
      <w:r w:rsidRPr="00727785">
        <w:rPr>
          <w:rFonts w:ascii="Arial" w:hAnsi="Arial" w:cs="Arial"/>
          <w:sz w:val="22"/>
          <w:szCs w:val="22"/>
          <w:vertAlign w:val="superscript"/>
        </w:rPr>
        <w:t>rd</w:t>
      </w:r>
      <w:r w:rsidRPr="00727785">
        <w:rPr>
          <w:rFonts w:ascii="Arial" w:hAnsi="Arial" w:cs="Arial"/>
          <w:sz w:val="22"/>
          <w:szCs w:val="22"/>
        </w:rPr>
        <w:t xml:space="preserve"> Parties or other External parties want to build a private connection to an entity on the GSN, while avoiding the uncertainty of using the Internet as a medium. Utilizing the GSN Extranet service via private line allows bandwidth to be guaranteed and eliminates the fluctuations of speed and latency that would otherwise be impacted on the Internet.</w:t>
      </w:r>
    </w:p>
    <w:p w14:paraId="2C1B2FEF" w14:textId="77777777" w:rsidR="00727785" w:rsidRPr="00727785" w:rsidRDefault="00727785" w:rsidP="00727785">
      <w:pPr>
        <w:jc w:val="both"/>
        <w:rPr>
          <w:rFonts w:ascii="Arial" w:hAnsi="Arial" w:cs="Arial"/>
          <w:sz w:val="22"/>
          <w:szCs w:val="22"/>
        </w:rPr>
      </w:pPr>
      <w:r w:rsidRPr="00727785">
        <w:rPr>
          <w:rFonts w:ascii="Arial" w:hAnsi="Arial" w:cs="Arial"/>
          <w:sz w:val="22"/>
          <w:szCs w:val="22"/>
        </w:rPr>
        <w:t>Extranet Options</w:t>
      </w:r>
    </w:p>
    <w:p w14:paraId="2A0ABAAB" w14:textId="77777777" w:rsidR="00727785" w:rsidRPr="00727785" w:rsidRDefault="00727785" w:rsidP="00727785">
      <w:pPr>
        <w:jc w:val="both"/>
        <w:rPr>
          <w:rFonts w:ascii="Arial" w:hAnsi="Arial" w:cs="Arial"/>
          <w:sz w:val="22"/>
          <w:szCs w:val="22"/>
        </w:rPr>
      </w:pPr>
    </w:p>
    <w:p w14:paraId="78A7F999" w14:textId="77777777" w:rsidR="00727785" w:rsidRPr="00727785" w:rsidRDefault="00727785" w:rsidP="00727785">
      <w:pPr>
        <w:spacing w:after="240"/>
        <w:jc w:val="both"/>
        <w:rPr>
          <w:rFonts w:ascii="Arial" w:hAnsi="Arial" w:cs="Arial"/>
          <w:sz w:val="22"/>
          <w:szCs w:val="22"/>
        </w:rPr>
      </w:pPr>
      <w:r w:rsidRPr="00727785">
        <w:rPr>
          <w:rFonts w:ascii="Arial" w:hAnsi="Arial" w:cs="Arial"/>
          <w:sz w:val="22"/>
          <w:szCs w:val="22"/>
        </w:rPr>
        <w:t>The communication links between the State of New Jersey and the contractor can be through a dedicated circuit or IPSEC tunnel over the Internet based upon the connectivity requirements and cost constraints. </w:t>
      </w:r>
    </w:p>
    <w:p w14:paraId="5F1F6DB9" w14:textId="77777777" w:rsidR="00727785" w:rsidRPr="00727785" w:rsidRDefault="00727785" w:rsidP="00727785">
      <w:pPr>
        <w:spacing w:after="240"/>
        <w:jc w:val="both"/>
        <w:rPr>
          <w:rFonts w:ascii="Arial" w:hAnsi="Arial" w:cs="Arial"/>
          <w:sz w:val="22"/>
          <w:szCs w:val="22"/>
        </w:rPr>
      </w:pPr>
      <w:r w:rsidRPr="00727785">
        <w:rPr>
          <w:rFonts w:ascii="Arial" w:hAnsi="Arial" w:cs="Arial"/>
          <w:sz w:val="22"/>
          <w:szCs w:val="22"/>
        </w:rPr>
        <w:t>The contractor must work with the sponsoring agency and OIT to establish an Extranet Partner relationship.  The State of New Jersey and the Contractor will be required to follow the State’s Extranet Policy and Procedure, and complete the application form, MOU, operational form and security controls assessment checklist.</w:t>
      </w:r>
    </w:p>
    <w:p w14:paraId="53C137E2" w14:textId="77777777" w:rsidR="00727785" w:rsidRPr="00727785" w:rsidRDefault="00727785" w:rsidP="00727785">
      <w:pPr>
        <w:spacing w:after="240"/>
        <w:jc w:val="both"/>
        <w:rPr>
          <w:rFonts w:ascii="Arial" w:hAnsi="Arial" w:cs="Arial"/>
          <w:sz w:val="22"/>
          <w:szCs w:val="22"/>
        </w:rPr>
      </w:pPr>
      <w:r w:rsidRPr="00727785">
        <w:rPr>
          <w:rFonts w:ascii="Arial" w:hAnsi="Arial" w:cs="Arial"/>
          <w:sz w:val="22"/>
          <w:szCs w:val="22"/>
        </w:rPr>
        <w:t>The State agency and external 3</w:t>
      </w:r>
      <w:r w:rsidRPr="00727785">
        <w:rPr>
          <w:rFonts w:ascii="Arial" w:hAnsi="Arial" w:cs="Arial"/>
          <w:sz w:val="22"/>
          <w:szCs w:val="22"/>
          <w:vertAlign w:val="superscript"/>
        </w:rPr>
        <w:t>rd</w:t>
      </w:r>
      <w:r w:rsidRPr="00727785">
        <w:rPr>
          <w:rFonts w:ascii="Arial" w:hAnsi="Arial" w:cs="Arial"/>
          <w:sz w:val="22"/>
          <w:szCs w:val="22"/>
        </w:rPr>
        <w:t xml:space="preserve"> Party must agree on the Extranet service level they will be utilizing for the connection, the cost of the connection and who will be paying for the agreed upon services.  </w:t>
      </w:r>
    </w:p>
    <w:p w14:paraId="3689C599" w14:textId="77777777" w:rsidR="00727785" w:rsidRPr="00727785" w:rsidRDefault="00727785" w:rsidP="00727785">
      <w:pPr>
        <w:jc w:val="both"/>
        <w:rPr>
          <w:rFonts w:ascii="Arial" w:hAnsi="Arial" w:cs="Arial"/>
          <w:sz w:val="22"/>
          <w:szCs w:val="22"/>
        </w:rPr>
      </w:pPr>
      <w:r w:rsidRPr="00727785">
        <w:rPr>
          <w:rFonts w:ascii="Arial" w:hAnsi="Arial" w:cs="Arial"/>
          <w:sz w:val="22"/>
          <w:szCs w:val="22"/>
        </w:rPr>
        <w:t>The State currently supports the following four service levels:</w:t>
      </w:r>
    </w:p>
    <w:p w14:paraId="5E6E5905" w14:textId="77777777" w:rsidR="00727785" w:rsidRPr="00727785" w:rsidRDefault="00727785" w:rsidP="00727785">
      <w:pPr>
        <w:jc w:val="both"/>
        <w:rPr>
          <w:rFonts w:ascii="Arial" w:hAnsi="Arial" w:cs="Arial"/>
          <w:sz w:val="22"/>
          <w:szCs w:val="22"/>
        </w:rPr>
      </w:pPr>
    </w:p>
    <w:p w14:paraId="4A59F7DF" w14:textId="77777777" w:rsidR="00727785" w:rsidRPr="00727785" w:rsidRDefault="00727785" w:rsidP="00727785">
      <w:pPr>
        <w:numPr>
          <w:ilvl w:val="0"/>
          <w:numId w:val="4"/>
        </w:numPr>
        <w:jc w:val="both"/>
        <w:rPr>
          <w:rFonts w:ascii="Arial" w:hAnsi="Arial" w:cs="Arial"/>
          <w:sz w:val="22"/>
          <w:szCs w:val="22"/>
        </w:rPr>
      </w:pPr>
      <w:r w:rsidRPr="00727785">
        <w:rPr>
          <w:rFonts w:ascii="Arial" w:hAnsi="Arial" w:cs="Arial"/>
          <w:sz w:val="22"/>
          <w:szCs w:val="22"/>
        </w:rPr>
        <w:t>Extranet Bronze – Single IPSEC Tunnel over the Internet.</w:t>
      </w:r>
    </w:p>
    <w:p w14:paraId="788704CB" w14:textId="77777777" w:rsidR="00727785" w:rsidRPr="00727785" w:rsidRDefault="00727785" w:rsidP="00727785">
      <w:pPr>
        <w:jc w:val="both"/>
        <w:rPr>
          <w:rFonts w:ascii="Arial" w:hAnsi="Arial" w:cs="Arial"/>
          <w:sz w:val="22"/>
          <w:szCs w:val="22"/>
        </w:rPr>
      </w:pPr>
    </w:p>
    <w:p w14:paraId="6ECFD754" w14:textId="77777777" w:rsidR="00727785" w:rsidRPr="00727785" w:rsidRDefault="00727785" w:rsidP="00727785">
      <w:pPr>
        <w:numPr>
          <w:ilvl w:val="0"/>
          <w:numId w:val="4"/>
        </w:numPr>
        <w:jc w:val="both"/>
        <w:rPr>
          <w:rFonts w:ascii="Arial" w:hAnsi="Arial" w:cs="Arial"/>
          <w:sz w:val="22"/>
          <w:szCs w:val="22"/>
        </w:rPr>
      </w:pPr>
      <w:r w:rsidRPr="00727785">
        <w:rPr>
          <w:rFonts w:ascii="Arial" w:hAnsi="Arial" w:cs="Arial"/>
          <w:sz w:val="22"/>
          <w:szCs w:val="22"/>
        </w:rPr>
        <w:t>Extranet Silver – Single dedicated circuit from a telecommunications carrier.</w:t>
      </w:r>
    </w:p>
    <w:p w14:paraId="3684ADD3" w14:textId="77777777" w:rsidR="00727785" w:rsidRPr="00727785" w:rsidRDefault="00727785" w:rsidP="00727785">
      <w:pPr>
        <w:jc w:val="both"/>
        <w:rPr>
          <w:rFonts w:ascii="Arial" w:hAnsi="Arial" w:cs="Arial"/>
          <w:sz w:val="22"/>
          <w:szCs w:val="22"/>
        </w:rPr>
      </w:pPr>
    </w:p>
    <w:p w14:paraId="1B0D3851" w14:textId="77777777" w:rsidR="00727785" w:rsidRPr="00727785" w:rsidRDefault="00727785" w:rsidP="00727785">
      <w:pPr>
        <w:numPr>
          <w:ilvl w:val="0"/>
          <w:numId w:val="4"/>
        </w:numPr>
        <w:jc w:val="both"/>
        <w:rPr>
          <w:rFonts w:ascii="Arial" w:hAnsi="Arial" w:cs="Arial"/>
          <w:sz w:val="22"/>
          <w:szCs w:val="22"/>
        </w:rPr>
      </w:pPr>
      <w:r w:rsidRPr="00727785">
        <w:rPr>
          <w:rFonts w:ascii="Arial" w:hAnsi="Arial" w:cs="Arial"/>
          <w:sz w:val="22"/>
          <w:szCs w:val="22"/>
        </w:rPr>
        <w:t>Extranet Gold – Dual IPSEC Tunnel over the Internet from our HUB and Hamilton Data Centers.</w:t>
      </w:r>
    </w:p>
    <w:p w14:paraId="65364BE6" w14:textId="77777777" w:rsidR="00727785" w:rsidRPr="00727785" w:rsidRDefault="00727785" w:rsidP="00727785">
      <w:pPr>
        <w:jc w:val="both"/>
        <w:rPr>
          <w:rFonts w:ascii="Arial" w:hAnsi="Arial" w:cs="Arial"/>
          <w:sz w:val="22"/>
          <w:szCs w:val="22"/>
        </w:rPr>
      </w:pPr>
    </w:p>
    <w:p w14:paraId="6F0A938A" w14:textId="77777777" w:rsidR="00727785" w:rsidRPr="00727785" w:rsidRDefault="00727785" w:rsidP="00727785">
      <w:pPr>
        <w:numPr>
          <w:ilvl w:val="0"/>
          <w:numId w:val="4"/>
        </w:numPr>
        <w:jc w:val="both"/>
        <w:rPr>
          <w:rFonts w:ascii="Arial" w:hAnsi="Arial" w:cs="Arial"/>
          <w:sz w:val="22"/>
          <w:szCs w:val="22"/>
        </w:rPr>
      </w:pPr>
      <w:r w:rsidRPr="00727785">
        <w:rPr>
          <w:rFonts w:ascii="Arial" w:hAnsi="Arial" w:cs="Arial"/>
          <w:sz w:val="22"/>
          <w:szCs w:val="22"/>
        </w:rPr>
        <w:t>Extranet Platinum – Dual dedicated circuits from a telecommunications carrier from our HUB and Hamilton Data Centers.</w:t>
      </w:r>
    </w:p>
    <w:p w14:paraId="03CAFEF0" w14:textId="77777777" w:rsidR="00727785" w:rsidRPr="00727785" w:rsidRDefault="00727785" w:rsidP="00727785">
      <w:pPr>
        <w:keepNext/>
        <w:keepLines/>
        <w:pageBreakBefore/>
        <w:spacing w:before="40" w:line="276" w:lineRule="auto"/>
        <w:outlineLvl w:val="2"/>
        <w:rPr>
          <w:rFonts w:ascii="Baskerville Old Face" w:hAnsi="Baskerville Old Face"/>
          <w:b/>
          <w:color w:val="E36C0A"/>
          <w:sz w:val="28"/>
          <w:szCs w:val="24"/>
        </w:rPr>
      </w:pPr>
      <w:bookmarkStart w:id="1" w:name="_Toc457559689"/>
      <w:r w:rsidRPr="00727785">
        <w:rPr>
          <w:rFonts w:ascii="Baskerville Old Face" w:hAnsi="Baskerville Old Face"/>
          <w:b/>
          <w:color w:val="E36C0A"/>
          <w:sz w:val="28"/>
          <w:szCs w:val="24"/>
        </w:rPr>
        <w:lastRenderedPageBreak/>
        <w:t>Extranet Topology and Technologies</w:t>
      </w:r>
      <w:bookmarkEnd w:id="1"/>
    </w:p>
    <w:p w14:paraId="1DA2DC96" w14:textId="77777777" w:rsidR="00727785" w:rsidRPr="00727785" w:rsidRDefault="00727785" w:rsidP="00727785">
      <w:pPr>
        <w:spacing w:after="200" w:line="276" w:lineRule="auto"/>
        <w:rPr>
          <w:rFonts w:ascii="Calibri" w:hAnsi="Calibri"/>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3743"/>
      </w:tblGrid>
      <w:tr w:rsidR="00727785" w:rsidRPr="00727785" w14:paraId="0B2959F7" w14:textId="77777777" w:rsidTr="002E7FDE">
        <w:tc>
          <w:tcPr>
            <w:tcW w:w="4945" w:type="dxa"/>
          </w:tcPr>
          <w:p w14:paraId="0BF51E18" w14:textId="77777777" w:rsidR="00727785" w:rsidRPr="00727785" w:rsidRDefault="00727785" w:rsidP="00727785">
            <w:pPr>
              <w:spacing w:after="200" w:line="276" w:lineRule="auto"/>
              <w:jc w:val="center"/>
              <w:rPr>
                <w:sz w:val="22"/>
              </w:rPr>
            </w:pPr>
            <w:r w:rsidRPr="00727785">
              <w:rPr>
                <w:rFonts w:ascii="Times New Roman" w:eastAsia="Times New Roman" w:hAnsi="Times New Roman"/>
                <w:sz w:val="20"/>
                <w:szCs w:val="20"/>
              </w:rPr>
              <w:object w:dxaOrig="4636" w:dyaOrig="7036" w14:anchorId="51DE7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351pt" o:ole="">
                  <v:imagedata r:id="rId7" o:title=""/>
                </v:shape>
                <o:OLEObject Type="Embed" ProgID="Visio.Drawing.15" ShapeID="_x0000_i1025" DrawAspect="Content" ObjectID="_1747489933" r:id="rId8"/>
              </w:object>
            </w:r>
          </w:p>
        </w:tc>
        <w:tc>
          <w:tcPr>
            <w:tcW w:w="5845" w:type="dxa"/>
          </w:tcPr>
          <w:p w14:paraId="559029A7" w14:textId="77777777" w:rsidR="00727785" w:rsidRPr="00727785" w:rsidRDefault="00727785" w:rsidP="00727785">
            <w:pPr>
              <w:spacing w:after="200" w:line="276" w:lineRule="auto"/>
              <w:rPr>
                <w:rFonts w:ascii="Arial" w:hAnsi="Arial" w:cs="Arial"/>
                <w:b/>
                <w:sz w:val="22"/>
                <w:lang w:eastAsia="ja-JP"/>
              </w:rPr>
            </w:pPr>
            <w:r w:rsidRPr="00727785">
              <w:rPr>
                <w:rFonts w:ascii="Arial" w:hAnsi="Arial" w:cs="Arial"/>
                <w:b/>
                <w:sz w:val="28"/>
                <w:lang w:eastAsia="ja-JP"/>
              </w:rPr>
              <w:t xml:space="preserve">Extranet Specifics and Topology </w:t>
            </w:r>
            <w:r w:rsidRPr="00727785">
              <w:rPr>
                <w:rFonts w:ascii="Arial" w:hAnsi="Arial" w:cs="Arial"/>
                <w:b/>
                <w:color w:val="E36C0A"/>
                <w:sz w:val="28"/>
                <w:lang w:eastAsia="ja-JP"/>
              </w:rPr>
              <w:t>(Bronze)</w:t>
            </w:r>
          </w:p>
          <w:p w14:paraId="169AC895" w14:textId="77777777" w:rsidR="00727785" w:rsidRPr="00727785" w:rsidRDefault="00727785" w:rsidP="00727785">
            <w:pPr>
              <w:numPr>
                <w:ilvl w:val="0"/>
                <w:numId w:val="5"/>
              </w:numPr>
              <w:spacing w:after="200" w:line="276" w:lineRule="auto"/>
              <w:ind w:left="167" w:hanging="193"/>
              <w:jc w:val="both"/>
              <w:rPr>
                <w:rFonts w:ascii="Arial" w:hAnsi="Arial" w:cs="Arial"/>
                <w:sz w:val="22"/>
                <w:lang w:eastAsia="ja-JP"/>
              </w:rPr>
            </w:pPr>
            <w:r w:rsidRPr="00727785">
              <w:rPr>
                <w:rFonts w:ascii="Arial" w:hAnsi="Arial" w:cs="Arial"/>
                <w:sz w:val="22"/>
                <w:lang w:eastAsia="ja-JP"/>
              </w:rPr>
              <w:t xml:space="preserve">Various </w:t>
            </w:r>
            <w:proofErr w:type="spellStart"/>
            <w:r w:rsidRPr="00727785">
              <w:rPr>
                <w:rFonts w:ascii="Arial" w:hAnsi="Arial" w:cs="Arial"/>
                <w:sz w:val="22"/>
                <w:lang w:eastAsia="ja-JP"/>
              </w:rPr>
              <w:t>IPSec</w:t>
            </w:r>
            <w:proofErr w:type="spellEnd"/>
            <w:r w:rsidRPr="00727785">
              <w:rPr>
                <w:rFonts w:ascii="Arial" w:hAnsi="Arial" w:cs="Arial"/>
                <w:sz w:val="22"/>
                <w:lang w:eastAsia="ja-JP"/>
              </w:rPr>
              <w:t xml:space="preserve"> configuration parameters are supported and should at a minimum meet the recommended values as defined by NJOIT’s GSN Technical Architects.</w:t>
            </w:r>
          </w:p>
          <w:p w14:paraId="4B0DB898" w14:textId="77777777" w:rsidR="00727785" w:rsidRPr="00727785" w:rsidRDefault="00727785" w:rsidP="00727785">
            <w:pPr>
              <w:numPr>
                <w:ilvl w:val="0"/>
                <w:numId w:val="5"/>
              </w:numPr>
              <w:spacing w:after="200" w:line="276" w:lineRule="auto"/>
              <w:ind w:left="167" w:hanging="193"/>
              <w:jc w:val="both"/>
              <w:rPr>
                <w:rFonts w:ascii="Arial" w:hAnsi="Arial" w:cs="Arial"/>
                <w:sz w:val="22"/>
                <w:lang w:eastAsia="ja-JP"/>
              </w:rPr>
            </w:pPr>
            <w:r w:rsidRPr="00727785">
              <w:rPr>
                <w:rFonts w:ascii="Arial" w:hAnsi="Arial" w:cs="Arial"/>
                <w:sz w:val="22"/>
                <w:lang w:eastAsia="ja-JP"/>
              </w:rPr>
              <w:t>Bandwidth over the Internet is not guaranteed.</w:t>
            </w:r>
          </w:p>
          <w:p w14:paraId="686F8F76" w14:textId="77777777" w:rsidR="00727785" w:rsidRPr="00727785" w:rsidRDefault="00727785" w:rsidP="00727785">
            <w:pPr>
              <w:numPr>
                <w:ilvl w:val="0"/>
                <w:numId w:val="5"/>
              </w:numPr>
              <w:spacing w:after="200" w:line="276" w:lineRule="auto"/>
              <w:ind w:left="167" w:hanging="193"/>
              <w:jc w:val="both"/>
              <w:rPr>
                <w:rFonts w:ascii="Arial" w:hAnsi="Arial" w:cs="Arial"/>
                <w:sz w:val="22"/>
                <w:lang w:eastAsia="ja-JP"/>
              </w:rPr>
            </w:pPr>
            <w:r w:rsidRPr="00727785">
              <w:rPr>
                <w:rFonts w:ascii="Arial" w:hAnsi="Arial" w:cs="Arial"/>
                <w:sz w:val="22"/>
                <w:lang w:eastAsia="ja-JP"/>
              </w:rPr>
              <w:t xml:space="preserve">Internet instability may cause disruption of this tunnel, therefore this </w:t>
            </w:r>
            <w:proofErr w:type="gramStart"/>
            <w:r w:rsidRPr="00727785">
              <w:rPr>
                <w:rFonts w:ascii="Arial" w:hAnsi="Arial" w:cs="Arial"/>
                <w:sz w:val="22"/>
                <w:lang w:eastAsia="ja-JP"/>
              </w:rPr>
              <w:t>Extranet</w:t>
            </w:r>
            <w:proofErr w:type="gramEnd"/>
            <w:r w:rsidRPr="00727785">
              <w:rPr>
                <w:rFonts w:ascii="Arial" w:hAnsi="Arial" w:cs="Arial"/>
                <w:sz w:val="22"/>
                <w:lang w:eastAsia="ja-JP"/>
              </w:rPr>
              <w:t xml:space="preserve"> model is considered best effort.</w:t>
            </w:r>
          </w:p>
          <w:p w14:paraId="1ADF7F75" w14:textId="77777777" w:rsidR="00727785" w:rsidRPr="00727785" w:rsidRDefault="00727785" w:rsidP="00727785">
            <w:pPr>
              <w:spacing w:after="200" w:line="276" w:lineRule="auto"/>
              <w:jc w:val="center"/>
              <w:rPr>
                <w:sz w:val="22"/>
              </w:rPr>
            </w:pPr>
          </w:p>
        </w:tc>
      </w:tr>
    </w:tbl>
    <w:p w14:paraId="4C6CFD85" w14:textId="77777777" w:rsidR="00727785" w:rsidRPr="00727785" w:rsidRDefault="00727785" w:rsidP="00727785">
      <w:pPr>
        <w:spacing w:after="200" w:line="276" w:lineRule="auto"/>
        <w:jc w:val="center"/>
        <w:rPr>
          <w:rFonts w:ascii="Calibri" w:hAnsi="Calibri"/>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3743"/>
      </w:tblGrid>
      <w:tr w:rsidR="00727785" w:rsidRPr="00727785" w14:paraId="5FC60D29" w14:textId="77777777" w:rsidTr="002E7FDE">
        <w:tc>
          <w:tcPr>
            <w:tcW w:w="4945" w:type="dxa"/>
          </w:tcPr>
          <w:p w14:paraId="0C46B847" w14:textId="77777777" w:rsidR="00727785" w:rsidRPr="00727785" w:rsidRDefault="00727785" w:rsidP="00727785">
            <w:pPr>
              <w:spacing w:after="200" w:line="276" w:lineRule="auto"/>
              <w:jc w:val="center"/>
              <w:rPr>
                <w:sz w:val="22"/>
              </w:rPr>
            </w:pPr>
            <w:r w:rsidRPr="00727785">
              <w:rPr>
                <w:rFonts w:ascii="Times New Roman" w:eastAsia="Times New Roman" w:hAnsi="Times New Roman"/>
                <w:sz w:val="20"/>
                <w:szCs w:val="20"/>
              </w:rPr>
              <w:object w:dxaOrig="4636" w:dyaOrig="7006" w14:anchorId="5E81E6CD">
                <v:shape id="_x0000_i1026" type="#_x0000_t75" style="width:231.75pt;height:351pt" o:ole="">
                  <v:imagedata r:id="rId9" o:title=""/>
                </v:shape>
                <o:OLEObject Type="Embed" ProgID="Visio.Drawing.15" ShapeID="_x0000_i1026" DrawAspect="Content" ObjectID="_1747489934" r:id="rId10"/>
              </w:object>
            </w:r>
          </w:p>
        </w:tc>
        <w:tc>
          <w:tcPr>
            <w:tcW w:w="5845" w:type="dxa"/>
          </w:tcPr>
          <w:p w14:paraId="101830EC" w14:textId="77777777" w:rsidR="00727785" w:rsidRPr="00727785" w:rsidRDefault="00727785" w:rsidP="00727785">
            <w:pPr>
              <w:spacing w:after="200" w:line="276" w:lineRule="auto"/>
              <w:rPr>
                <w:rFonts w:ascii="Arial" w:hAnsi="Arial" w:cs="Arial"/>
                <w:b/>
                <w:sz w:val="22"/>
                <w:lang w:eastAsia="ja-JP"/>
              </w:rPr>
            </w:pPr>
            <w:r w:rsidRPr="00727785">
              <w:rPr>
                <w:rFonts w:ascii="Arial" w:hAnsi="Arial" w:cs="Arial"/>
                <w:b/>
                <w:sz w:val="28"/>
                <w:lang w:eastAsia="ja-JP"/>
              </w:rPr>
              <w:t xml:space="preserve">Extranet Specifics and Topology </w:t>
            </w:r>
            <w:r w:rsidRPr="00727785">
              <w:rPr>
                <w:rFonts w:ascii="Arial" w:hAnsi="Arial" w:cs="Arial"/>
                <w:b/>
                <w:color w:val="808080"/>
                <w:sz w:val="28"/>
                <w:lang w:eastAsia="ja-JP"/>
              </w:rPr>
              <w:t>(Silver)</w:t>
            </w:r>
          </w:p>
          <w:p w14:paraId="0B1978E6" w14:textId="77777777" w:rsidR="00727785" w:rsidRPr="00727785" w:rsidRDefault="00727785" w:rsidP="00727785">
            <w:pPr>
              <w:numPr>
                <w:ilvl w:val="0"/>
                <w:numId w:val="5"/>
              </w:numPr>
              <w:spacing w:after="200" w:line="276" w:lineRule="auto"/>
              <w:ind w:left="257" w:hanging="283"/>
              <w:jc w:val="both"/>
              <w:rPr>
                <w:rFonts w:ascii="Arial" w:hAnsi="Arial" w:cs="Arial"/>
                <w:sz w:val="22"/>
                <w:lang w:eastAsia="ja-JP"/>
              </w:rPr>
            </w:pPr>
            <w:r w:rsidRPr="00727785">
              <w:rPr>
                <w:rFonts w:ascii="Arial" w:hAnsi="Arial" w:cs="Arial"/>
                <w:sz w:val="22"/>
                <w:lang w:eastAsia="ja-JP"/>
              </w:rPr>
              <w:t>All management and administration of the physical connectivity to the 3</w:t>
            </w:r>
            <w:r w:rsidRPr="00727785">
              <w:rPr>
                <w:rFonts w:ascii="Arial" w:hAnsi="Arial" w:cs="Arial"/>
                <w:sz w:val="22"/>
                <w:vertAlign w:val="superscript"/>
                <w:lang w:eastAsia="ja-JP"/>
              </w:rPr>
              <w:t>rd</w:t>
            </w:r>
            <w:r w:rsidRPr="00727785">
              <w:rPr>
                <w:rFonts w:ascii="Arial" w:hAnsi="Arial" w:cs="Arial"/>
                <w:sz w:val="22"/>
                <w:lang w:eastAsia="ja-JP"/>
              </w:rPr>
              <w:t xml:space="preserve"> party carrier router is handled by the OIT Data Center Infrastructure Group and all equipment meet the Data Center’s Electrical standards. (The Carrier Router and circuit must terminate at the West Trenton or Hamilton Data Centers.)</w:t>
            </w:r>
          </w:p>
          <w:p w14:paraId="6B3FB4A4" w14:textId="77777777" w:rsidR="00727785" w:rsidRPr="00727785" w:rsidRDefault="00727785" w:rsidP="00727785">
            <w:pPr>
              <w:numPr>
                <w:ilvl w:val="0"/>
                <w:numId w:val="5"/>
              </w:numPr>
              <w:spacing w:after="200" w:line="276" w:lineRule="auto"/>
              <w:ind w:left="257" w:hanging="283"/>
              <w:jc w:val="both"/>
              <w:rPr>
                <w:rFonts w:ascii="Arial" w:hAnsi="Arial" w:cs="Arial"/>
                <w:sz w:val="22"/>
                <w:lang w:eastAsia="ja-JP"/>
              </w:rPr>
            </w:pPr>
            <w:r w:rsidRPr="00727785">
              <w:rPr>
                <w:rFonts w:ascii="Arial" w:hAnsi="Arial" w:cs="Arial"/>
                <w:sz w:val="22"/>
                <w:lang w:eastAsia="ja-JP"/>
              </w:rPr>
              <w:t>Management of the Private Line Provider is the responsibility of the vendor or the Agency requesting service.</w:t>
            </w:r>
          </w:p>
          <w:p w14:paraId="0601F46A" w14:textId="77777777" w:rsidR="00727785" w:rsidRPr="00727785" w:rsidRDefault="00727785" w:rsidP="00727785">
            <w:pPr>
              <w:numPr>
                <w:ilvl w:val="0"/>
                <w:numId w:val="5"/>
              </w:numPr>
              <w:spacing w:after="200" w:line="276" w:lineRule="auto"/>
              <w:ind w:left="257" w:hanging="257"/>
              <w:jc w:val="both"/>
              <w:rPr>
                <w:rFonts w:ascii="Arial" w:hAnsi="Arial" w:cs="Arial"/>
                <w:sz w:val="22"/>
                <w:lang w:eastAsia="ja-JP"/>
              </w:rPr>
            </w:pPr>
            <w:r w:rsidRPr="00727785">
              <w:rPr>
                <w:rFonts w:ascii="Arial" w:hAnsi="Arial" w:cs="Arial"/>
                <w:sz w:val="22"/>
                <w:lang w:eastAsia="ja-JP"/>
              </w:rPr>
              <w:t>Bandwidth over Private Circuits is typically guaranteed (depending on what the 3</w:t>
            </w:r>
            <w:r w:rsidRPr="00727785">
              <w:rPr>
                <w:rFonts w:ascii="Arial" w:hAnsi="Arial" w:cs="Arial"/>
                <w:sz w:val="22"/>
                <w:vertAlign w:val="superscript"/>
                <w:lang w:eastAsia="ja-JP"/>
              </w:rPr>
              <w:t>rd</w:t>
            </w:r>
            <w:r w:rsidRPr="00727785">
              <w:rPr>
                <w:rFonts w:ascii="Arial" w:hAnsi="Arial" w:cs="Arial"/>
                <w:sz w:val="22"/>
                <w:lang w:eastAsia="ja-JP"/>
              </w:rPr>
              <w:t xml:space="preserve"> Party Vendor has requested from the Carrier)</w:t>
            </w:r>
          </w:p>
          <w:p w14:paraId="140A2B4D" w14:textId="77777777" w:rsidR="00727785" w:rsidRPr="00727785" w:rsidRDefault="00727785" w:rsidP="00727785">
            <w:pPr>
              <w:numPr>
                <w:ilvl w:val="0"/>
                <w:numId w:val="5"/>
              </w:numPr>
              <w:spacing w:after="200" w:line="276" w:lineRule="auto"/>
              <w:ind w:left="257" w:hanging="257"/>
              <w:jc w:val="both"/>
              <w:rPr>
                <w:rFonts w:ascii="Arial" w:hAnsi="Arial" w:cs="Arial"/>
                <w:sz w:val="22"/>
                <w:lang w:eastAsia="ja-JP"/>
              </w:rPr>
            </w:pPr>
            <w:r w:rsidRPr="00727785">
              <w:rPr>
                <w:rFonts w:ascii="Arial" w:hAnsi="Arial" w:cs="Arial"/>
                <w:sz w:val="22"/>
                <w:lang w:eastAsia="ja-JP"/>
              </w:rPr>
              <w:t>Incidents determined to be fault of the 3</w:t>
            </w:r>
            <w:r w:rsidRPr="00727785">
              <w:rPr>
                <w:rFonts w:ascii="Arial" w:hAnsi="Arial" w:cs="Arial"/>
                <w:sz w:val="22"/>
                <w:vertAlign w:val="superscript"/>
                <w:lang w:eastAsia="ja-JP"/>
              </w:rPr>
              <w:t>rd</w:t>
            </w:r>
            <w:r w:rsidRPr="00727785">
              <w:rPr>
                <w:rFonts w:ascii="Arial" w:hAnsi="Arial" w:cs="Arial"/>
                <w:sz w:val="22"/>
                <w:lang w:eastAsia="ja-JP"/>
              </w:rPr>
              <w:t xml:space="preserve"> Party or Private Line Provider are the responsibility of the Agency or 3</w:t>
            </w:r>
            <w:r w:rsidRPr="00727785">
              <w:rPr>
                <w:rFonts w:ascii="Arial" w:hAnsi="Arial" w:cs="Arial"/>
                <w:sz w:val="22"/>
                <w:vertAlign w:val="superscript"/>
                <w:lang w:eastAsia="ja-JP"/>
              </w:rPr>
              <w:t>rd</w:t>
            </w:r>
            <w:r w:rsidRPr="00727785">
              <w:rPr>
                <w:rFonts w:ascii="Arial" w:hAnsi="Arial" w:cs="Arial"/>
                <w:sz w:val="22"/>
                <w:lang w:eastAsia="ja-JP"/>
              </w:rPr>
              <w:t xml:space="preserve"> Party to remediate.</w:t>
            </w:r>
          </w:p>
          <w:p w14:paraId="652BE391" w14:textId="77777777" w:rsidR="00727785" w:rsidRPr="00727785" w:rsidRDefault="00727785" w:rsidP="00727785">
            <w:pPr>
              <w:spacing w:after="200" w:line="276" w:lineRule="auto"/>
              <w:jc w:val="center"/>
              <w:rPr>
                <w:sz w:val="22"/>
              </w:rPr>
            </w:pPr>
          </w:p>
        </w:tc>
      </w:tr>
    </w:tbl>
    <w:p w14:paraId="4BF3D5C8" w14:textId="77777777" w:rsidR="00727785" w:rsidRPr="00727785" w:rsidRDefault="00727785" w:rsidP="00727785">
      <w:pPr>
        <w:spacing w:after="200" w:line="276" w:lineRule="auto"/>
        <w:rPr>
          <w:rFonts w:ascii="Calibri" w:hAnsi="Calibri"/>
          <w:sz w:val="22"/>
          <w:szCs w:val="22"/>
        </w:rPr>
      </w:pPr>
    </w:p>
    <w:p w14:paraId="645D251B" w14:textId="77777777" w:rsidR="00727785" w:rsidRPr="00727785" w:rsidRDefault="00727785" w:rsidP="00727785">
      <w:pPr>
        <w:spacing w:after="200" w:line="276" w:lineRule="auto"/>
        <w:rPr>
          <w:rFonts w:ascii="Calibri" w:hAnsi="Calibri"/>
          <w:sz w:val="22"/>
          <w:szCs w:val="22"/>
        </w:rPr>
      </w:pPr>
    </w:p>
    <w:p w14:paraId="646579A3" w14:textId="77777777" w:rsidR="00727785" w:rsidRPr="00727785" w:rsidRDefault="00727785" w:rsidP="00727785">
      <w:pPr>
        <w:spacing w:after="200" w:line="276" w:lineRule="auto"/>
        <w:rPr>
          <w:rFonts w:ascii="Calibri" w:hAnsi="Calibri"/>
          <w:sz w:val="22"/>
          <w:szCs w:val="22"/>
        </w:rPr>
      </w:pPr>
    </w:p>
    <w:p w14:paraId="23F85395" w14:textId="77777777" w:rsidR="00727785" w:rsidRPr="00727785" w:rsidRDefault="00727785" w:rsidP="00727785">
      <w:pPr>
        <w:spacing w:after="200" w:line="276" w:lineRule="auto"/>
        <w:jc w:val="center"/>
        <w:rPr>
          <w:rFonts w:ascii="Calibri" w:hAnsi="Calibri"/>
          <w:sz w:val="22"/>
          <w:szCs w:val="22"/>
        </w:rPr>
      </w:pPr>
      <w:r w:rsidRPr="00727785">
        <w:rPr>
          <w:rFonts w:ascii="Calibri" w:hAnsi="Calibri"/>
          <w:sz w:val="22"/>
          <w:szCs w:val="22"/>
        </w:rPr>
        <w:object w:dxaOrig="7591" w:dyaOrig="6960" w14:anchorId="3880385D">
          <v:shape id="_x0000_i1027" type="#_x0000_t75" style="width:379.5pt;height:348pt" o:ole="">
            <v:imagedata r:id="rId11" o:title=""/>
          </v:shape>
          <o:OLEObject Type="Embed" ProgID="Visio.Drawing.15" ShapeID="_x0000_i1027" DrawAspect="Content" ObjectID="_1747489935" r:id="rId12"/>
        </w:object>
      </w:r>
    </w:p>
    <w:p w14:paraId="08AB4E27" w14:textId="77777777" w:rsidR="00727785" w:rsidRPr="00727785" w:rsidRDefault="00727785" w:rsidP="00727785">
      <w:pPr>
        <w:spacing w:after="200" w:line="276" w:lineRule="auto"/>
        <w:rPr>
          <w:rFonts w:ascii="Calibri" w:hAnsi="Calibri"/>
          <w:b/>
          <w:sz w:val="28"/>
          <w:szCs w:val="22"/>
          <w:lang w:eastAsia="ja-JP"/>
        </w:rPr>
      </w:pPr>
    </w:p>
    <w:p w14:paraId="2EE1EB89" w14:textId="77777777" w:rsidR="00727785" w:rsidRPr="00727785" w:rsidRDefault="00727785" w:rsidP="00727785">
      <w:pPr>
        <w:spacing w:after="200" w:line="276" w:lineRule="auto"/>
        <w:rPr>
          <w:rFonts w:ascii="Arial" w:hAnsi="Arial" w:cs="Arial"/>
          <w:b/>
          <w:sz w:val="22"/>
          <w:szCs w:val="22"/>
          <w:lang w:eastAsia="ja-JP"/>
        </w:rPr>
      </w:pPr>
      <w:r w:rsidRPr="00727785">
        <w:rPr>
          <w:rFonts w:ascii="Arial" w:hAnsi="Arial" w:cs="Arial"/>
          <w:b/>
          <w:sz w:val="28"/>
          <w:szCs w:val="22"/>
          <w:lang w:eastAsia="ja-JP"/>
        </w:rPr>
        <w:t xml:space="preserve">Extranet Specifics and Topology </w:t>
      </w:r>
      <w:r w:rsidRPr="00727785">
        <w:rPr>
          <w:rFonts w:ascii="Arial" w:hAnsi="Arial" w:cs="Arial"/>
          <w:b/>
          <w:color w:val="FFC000"/>
          <w:sz w:val="28"/>
          <w:szCs w:val="22"/>
          <w:lang w:eastAsia="ja-JP"/>
        </w:rPr>
        <w:t>(Gold)</w:t>
      </w:r>
    </w:p>
    <w:p w14:paraId="2C15B78B" w14:textId="77777777" w:rsidR="00727785" w:rsidRPr="00727785" w:rsidRDefault="00727785" w:rsidP="00727785">
      <w:pPr>
        <w:numPr>
          <w:ilvl w:val="0"/>
          <w:numId w:val="5"/>
        </w:numPr>
        <w:spacing w:after="200" w:line="276" w:lineRule="auto"/>
        <w:ind w:left="257" w:hanging="257"/>
        <w:jc w:val="both"/>
        <w:rPr>
          <w:rFonts w:ascii="Arial" w:hAnsi="Arial" w:cs="Arial"/>
          <w:sz w:val="22"/>
          <w:szCs w:val="22"/>
          <w:lang w:eastAsia="ja-JP"/>
        </w:rPr>
      </w:pPr>
      <w:r w:rsidRPr="00727785">
        <w:rPr>
          <w:rFonts w:ascii="Arial" w:hAnsi="Arial" w:cs="Arial"/>
          <w:sz w:val="22"/>
          <w:szCs w:val="22"/>
          <w:lang w:eastAsia="ja-JP"/>
        </w:rPr>
        <w:t>Similar attributes and requirements to the Extranet Bronze Service, only dual-homed</w:t>
      </w:r>
    </w:p>
    <w:p w14:paraId="582F21FE" w14:textId="77777777" w:rsidR="00727785" w:rsidRPr="00727785" w:rsidRDefault="00727785" w:rsidP="00727785">
      <w:pPr>
        <w:numPr>
          <w:ilvl w:val="0"/>
          <w:numId w:val="5"/>
        </w:numPr>
        <w:spacing w:after="200" w:line="276" w:lineRule="auto"/>
        <w:ind w:left="257" w:hanging="257"/>
        <w:jc w:val="both"/>
        <w:rPr>
          <w:rFonts w:ascii="Arial" w:hAnsi="Arial" w:cs="Arial"/>
          <w:sz w:val="22"/>
          <w:szCs w:val="22"/>
          <w:lang w:eastAsia="ja-JP"/>
        </w:rPr>
      </w:pPr>
      <w:r w:rsidRPr="00727785">
        <w:rPr>
          <w:rFonts w:ascii="Arial" w:hAnsi="Arial" w:cs="Arial"/>
          <w:sz w:val="22"/>
          <w:szCs w:val="22"/>
          <w:lang w:eastAsia="ja-JP"/>
        </w:rPr>
        <w:t>Each Data Center connection acts independently, and provides Unique NAT addresses at each connection point</w:t>
      </w:r>
    </w:p>
    <w:p w14:paraId="2337E697" w14:textId="77777777" w:rsidR="00727785" w:rsidRPr="00727785" w:rsidRDefault="00727785" w:rsidP="00727785">
      <w:pPr>
        <w:numPr>
          <w:ilvl w:val="0"/>
          <w:numId w:val="5"/>
        </w:numPr>
        <w:spacing w:after="200" w:line="276" w:lineRule="auto"/>
        <w:ind w:left="257" w:hanging="257"/>
        <w:jc w:val="both"/>
        <w:rPr>
          <w:rFonts w:ascii="Arial" w:hAnsi="Arial" w:cs="Arial"/>
          <w:sz w:val="22"/>
          <w:szCs w:val="22"/>
          <w:lang w:eastAsia="ja-JP"/>
        </w:rPr>
      </w:pPr>
      <w:r w:rsidRPr="00727785">
        <w:rPr>
          <w:rFonts w:ascii="Arial" w:hAnsi="Arial" w:cs="Arial"/>
          <w:sz w:val="22"/>
          <w:szCs w:val="22"/>
          <w:lang w:eastAsia="ja-JP"/>
        </w:rPr>
        <w:t>Applications can be configured to use one or both paths (depending upon the configuration of the App and the DNS resolution of IP Addresses for each tunnel.</w:t>
      </w:r>
    </w:p>
    <w:p w14:paraId="3295F61D" w14:textId="77777777" w:rsidR="00727785" w:rsidRPr="00727785" w:rsidRDefault="00727785" w:rsidP="00727785">
      <w:pPr>
        <w:numPr>
          <w:ilvl w:val="0"/>
          <w:numId w:val="5"/>
        </w:numPr>
        <w:spacing w:after="200" w:line="276" w:lineRule="auto"/>
        <w:ind w:left="257" w:hanging="257"/>
        <w:jc w:val="both"/>
        <w:rPr>
          <w:rFonts w:ascii="Arial" w:hAnsi="Arial" w:cs="Arial"/>
          <w:sz w:val="22"/>
          <w:szCs w:val="22"/>
          <w:lang w:eastAsia="ja-JP"/>
        </w:rPr>
      </w:pPr>
      <w:r w:rsidRPr="00727785">
        <w:rPr>
          <w:rFonts w:ascii="Arial" w:hAnsi="Arial" w:cs="Arial"/>
          <w:sz w:val="22"/>
          <w:szCs w:val="22"/>
          <w:lang w:eastAsia="ja-JP"/>
        </w:rPr>
        <w:t>Traffic across each tunnel for similar IP Advertisements are treated as Active/Standby to avoid asymmetric traffic flow (traffic cannot leave through one VPN and return through the other – this traffic will be dropped).</w:t>
      </w:r>
    </w:p>
    <w:p w14:paraId="3E0F8669" w14:textId="77777777" w:rsidR="00727785" w:rsidRPr="00727785" w:rsidRDefault="00727785" w:rsidP="00727785">
      <w:pPr>
        <w:spacing w:after="200" w:line="276" w:lineRule="auto"/>
        <w:jc w:val="both"/>
        <w:rPr>
          <w:rFonts w:ascii="Arial" w:hAnsi="Arial" w:cs="Arial"/>
          <w:sz w:val="22"/>
          <w:szCs w:val="22"/>
        </w:rPr>
      </w:pPr>
    </w:p>
    <w:p w14:paraId="74A435BF" w14:textId="77777777" w:rsidR="00727785" w:rsidRPr="00727785" w:rsidRDefault="00727785" w:rsidP="00727785">
      <w:pPr>
        <w:spacing w:after="200" w:line="276" w:lineRule="auto"/>
        <w:jc w:val="center"/>
        <w:rPr>
          <w:rFonts w:ascii="Calibri" w:hAnsi="Calibri"/>
          <w:sz w:val="22"/>
          <w:szCs w:val="22"/>
        </w:rPr>
      </w:pPr>
      <w:r w:rsidRPr="00727785">
        <w:rPr>
          <w:rFonts w:ascii="Calibri" w:hAnsi="Calibri"/>
          <w:sz w:val="22"/>
          <w:szCs w:val="22"/>
        </w:rPr>
        <w:object w:dxaOrig="8820" w:dyaOrig="6991" w14:anchorId="29FF2539">
          <v:shape id="_x0000_i1028" type="#_x0000_t75" style="width:441pt;height:349.5pt" o:ole="">
            <v:imagedata r:id="rId13" o:title=""/>
          </v:shape>
          <o:OLEObject Type="Embed" ProgID="Visio.Drawing.15" ShapeID="_x0000_i1028" DrawAspect="Content" ObjectID="_1747489936" r:id="rId14"/>
        </w:object>
      </w:r>
    </w:p>
    <w:p w14:paraId="5AAEC4CA" w14:textId="77777777" w:rsidR="00727785" w:rsidRPr="00727785" w:rsidRDefault="00727785" w:rsidP="00727785">
      <w:pPr>
        <w:spacing w:after="200" w:line="276" w:lineRule="auto"/>
        <w:rPr>
          <w:rFonts w:ascii="Arial" w:hAnsi="Arial" w:cs="Arial"/>
          <w:b/>
          <w:sz w:val="22"/>
          <w:szCs w:val="22"/>
          <w:lang w:eastAsia="ja-JP"/>
        </w:rPr>
      </w:pPr>
      <w:r w:rsidRPr="00727785">
        <w:rPr>
          <w:rFonts w:ascii="Arial" w:hAnsi="Arial" w:cs="Arial"/>
          <w:b/>
          <w:sz w:val="28"/>
          <w:szCs w:val="22"/>
          <w:lang w:eastAsia="ja-JP"/>
        </w:rPr>
        <w:t xml:space="preserve">Extranet Specifics and Topology </w:t>
      </w:r>
      <w:r w:rsidRPr="00727785">
        <w:rPr>
          <w:rFonts w:ascii="Arial" w:hAnsi="Arial" w:cs="Arial"/>
          <w:b/>
          <w:color w:val="215868"/>
          <w:sz w:val="28"/>
          <w:szCs w:val="22"/>
          <w:lang w:eastAsia="ja-JP"/>
        </w:rPr>
        <w:t>(Platinum)</w:t>
      </w:r>
    </w:p>
    <w:p w14:paraId="7DC06281" w14:textId="77777777" w:rsidR="00727785" w:rsidRPr="00727785" w:rsidRDefault="00727785" w:rsidP="00727785">
      <w:pPr>
        <w:numPr>
          <w:ilvl w:val="0"/>
          <w:numId w:val="5"/>
        </w:numPr>
        <w:spacing w:after="200" w:line="276" w:lineRule="auto"/>
        <w:ind w:left="257" w:hanging="257"/>
        <w:jc w:val="both"/>
        <w:rPr>
          <w:rFonts w:ascii="Arial" w:hAnsi="Arial" w:cs="Arial"/>
          <w:sz w:val="22"/>
          <w:szCs w:val="22"/>
          <w:lang w:eastAsia="ja-JP"/>
        </w:rPr>
      </w:pPr>
      <w:r w:rsidRPr="00727785">
        <w:rPr>
          <w:rFonts w:ascii="Arial" w:hAnsi="Arial" w:cs="Arial"/>
          <w:sz w:val="22"/>
          <w:szCs w:val="22"/>
          <w:lang w:eastAsia="ja-JP"/>
        </w:rPr>
        <w:t>Similar attributes and requirements to the Extranet Silver Services, only dual-homed with dual private carriers</w:t>
      </w:r>
    </w:p>
    <w:p w14:paraId="588FE8FF" w14:textId="77777777" w:rsidR="00727785" w:rsidRPr="00727785" w:rsidRDefault="00727785" w:rsidP="00727785">
      <w:pPr>
        <w:numPr>
          <w:ilvl w:val="0"/>
          <w:numId w:val="5"/>
        </w:numPr>
        <w:spacing w:after="200" w:line="276" w:lineRule="auto"/>
        <w:ind w:left="257" w:hanging="257"/>
        <w:jc w:val="both"/>
        <w:rPr>
          <w:rFonts w:ascii="Arial" w:hAnsi="Arial" w:cs="Arial"/>
          <w:sz w:val="22"/>
          <w:szCs w:val="22"/>
          <w:lang w:eastAsia="ja-JP"/>
        </w:rPr>
      </w:pPr>
      <w:r w:rsidRPr="00727785">
        <w:rPr>
          <w:rFonts w:ascii="Arial" w:hAnsi="Arial" w:cs="Arial"/>
          <w:sz w:val="22"/>
          <w:szCs w:val="22"/>
          <w:lang w:eastAsia="ja-JP"/>
        </w:rPr>
        <w:t>Each Data Center connection acts independently, and provides Unique NAT addresses at each connection point</w:t>
      </w:r>
    </w:p>
    <w:p w14:paraId="23EA5B7A" w14:textId="77777777" w:rsidR="00727785" w:rsidRPr="00727785" w:rsidRDefault="00727785" w:rsidP="00727785">
      <w:pPr>
        <w:numPr>
          <w:ilvl w:val="0"/>
          <w:numId w:val="5"/>
        </w:numPr>
        <w:spacing w:after="200" w:line="276" w:lineRule="auto"/>
        <w:ind w:left="257" w:hanging="257"/>
        <w:jc w:val="both"/>
        <w:rPr>
          <w:rFonts w:ascii="Arial" w:hAnsi="Arial" w:cs="Arial"/>
          <w:sz w:val="22"/>
          <w:szCs w:val="22"/>
          <w:lang w:eastAsia="ja-JP"/>
        </w:rPr>
      </w:pPr>
      <w:r w:rsidRPr="00727785">
        <w:rPr>
          <w:rFonts w:ascii="Arial" w:hAnsi="Arial" w:cs="Arial"/>
          <w:sz w:val="22"/>
          <w:szCs w:val="22"/>
          <w:lang w:eastAsia="ja-JP"/>
        </w:rPr>
        <w:t>Applications can be configured to use one or both paths (depending upon the configuration of the App and the DNS resolution of IP Addresses for each tunnel.</w:t>
      </w:r>
    </w:p>
    <w:p w14:paraId="70C40CD1" w14:textId="77777777" w:rsidR="00727785" w:rsidRPr="00727785" w:rsidRDefault="00727785" w:rsidP="00727785">
      <w:pPr>
        <w:numPr>
          <w:ilvl w:val="0"/>
          <w:numId w:val="5"/>
        </w:numPr>
        <w:spacing w:after="200" w:line="276" w:lineRule="auto"/>
        <w:ind w:left="257" w:hanging="257"/>
        <w:jc w:val="both"/>
        <w:rPr>
          <w:rFonts w:ascii="Arial" w:hAnsi="Arial" w:cs="Arial"/>
          <w:sz w:val="22"/>
          <w:szCs w:val="22"/>
          <w:lang w:eastAsia="ja-JP"/>
        </w:rPr>
      </w:pPr>
      <w:r w:rsidRPr="00727785">
        <w:rPr>
          <w:rFonts w:ascii="Arial" w:hAnsi="Arial" w:cs="Arial"/>
          <w:sz w:val="22"/>
          <w:szCs w:val="22"/>
          <w:lang w:eastAsia="ja-JP"/>
        </w:rPr>
        <w:t>Traffic across each tunnel for similar IP Advertisements are treated as Active/Standby to avoid asymmetric traffic flow (traffic cannot leave through one VPN and return through the other – this traffic will be dropped).</w:t>
      </w:r>
    </w:p>
    <w:p w14:paraId="2C2CA24A" w14:textId="77777777" w:rsidR="00727785" w:rsidRPr="00727785" w:rsidRDefault="00727785" w:rsidP="00727785">
      <w:pPr>
        <w:spacing w:after="200" w:line="276" w:lineRule="auto"/>
        <w:jc w:val="both"/>
        <w:rPr>
          <w:rFonts w:ascii="Arial" w:hAnsi="Arial" w:cs="Arial"/>
          <w:sz w:val="22"/>
          <w:szCs w:val="22"/>
        </w:rPr>
      </w:pPr>
    </w:p>
    <w:p w14:paraId="475ACE2B" w14:textId="77777777" w:rsidR="00727785" w:rsidRPr="00727785" w:rsidRDefault="00727785" w:rsidP="00727785">
      <w:pPr>
        <w:jc w:val="both"/>
        <w:rPr>
          <w:sz w:val="22"/>
          <w:szCs w:val="22"/>
        </w:rPr>
      </w:pPr>
    </w:p>
    <w:p w14:paraId="01A426EF" w14:textId="77777777" w:rsidR="00727785" w:rsidRPr="00727785" w:rsidRDefault="00727785" w:rsidP="00727785">
      <w:pPr>
        <w:jc w:val="both"/>
        <w:rPr>
          <w:sz w:val="22"/>
          <w:szCs w:val="22"/>
        </w:rPr>
      </w:pPr>
    </w:p>
    <w:p w14:paraId="1176541A" w14:textId="77777777" w:rsidR="00727785" w:rsidRPr="00727785" w:rsidRDefault="00727785" w:rsidP="00727785">
      <w:pPr>
        <w:spacing w:before="100" w:beforeAutospacing="1" w:after="100" w:afterAutospacing="1"/>
        <w:ind w:left="720"/>
        <w:rPr>
          <w:szCs w:val="24"/>
        </w:rPr>
      </w:pPr>
    </w:p>
    <w:p w14:paraId="0385228C" w14:textId="77777777" w:rsidR="00727785" w:rsidRPr="00727785" w:rsidRDefault="00727785" w:rsidP="00727785">
      <w:pPr>
        <w:keepNext/>
        <w:tabs>
          <w:tab w:val="left" w:pos="0"/>
        </w:tabs>
        <w:suppressAutoHyphens/>
        <w:jc w:val="center"/>
        <w:outlineLvl w:val="2"/>
        <w:rPr>
          <w:rFonts w:ascii="Arial" w:hAnsi="Arial" w:cs="Arial"/>
          <w:b/>
          <w:bCs/>
          <w:lang w:val="x-none" w:eastAsia="x-none"/>
        </w:rPr>
      </w:pPr>
      <w:r w:rsidRPr="00727785">
        <w:rPr>
          <w:rFonts w:ascii="Arial" w:hAnsi="Arial" w:cs="Arial"/>
          <w:b/>
          <w:bCs/>
          <w:lang w:val="x-none" w:eastAsia="x-none"/>
        </w:rPr>
        <w:lastRenderedPageBreak/>
        <w:t>Transmission of Files</w:t>
      </w:r>
    </w:p>
    <w:p w14:paraId="258AFD36" w14:textId="77777777" w:rsidR="00727785" w:rsidRPr="00727785" w:rsidRDefault="00727785" w:rsidP="00727785">
      <w:pPr>
        <w:spacing w:before="100" w:beforeAutospacing="1" w:after="100" w:afterAutospacing="1"/>
        <w:jc w:val="both"/>
        <w:rPr>
          <w:rFonts w:ascii="Arial" w:hAnsi="Arial" w:cs="Arial"/>
          <w:iCs/>
          <w:sz w:val="22"/>
          <w:szCs w:val="22"/>
        </w:rPr>
      </w:pPr>
      <w:r w:rsidRPr="00727785">
        <w:rPr>
          <w:rFonts w:ascii="Arial" w:hAnsi="Arial" w:cs="Arial"/>
          <w:sz w:val="22"/>
          <w:szCs w:val="22"/>
        </w:rPr>
        <w:t>The State of New Jersey supports multiple methods for data transfers internally within the Garden State Network or external to an extranet or business partner.  The transmission of all files between the contractor and the State system must be transferred securely using the State file transfer methodology.  The State will work with the contractor in the implementation of the file transfer process.  The secure file transfer must meet the state and federal security guidelines and standards.</w:t>
      </w:r>
    </w:p>
    <w:p w14:paraId="6020C01E" w14:textId="77777777" w:rsidR="00727785" w:rsidRPr="00727785" w:rsidRDefault="00727785" w:rsidP="00727785">
      <w:pPr>
        <w:spacing w:before="100" w:beforeAutospacing="1" w:after="100" w:afterAutospacing="1"/>
        <w:jc w:val="both"/>
        <w:rPr>
          <w:rFonts w:ascii="Arial" w:hAnsi="Arial" w:cs="Arial"/>
          <w:iCs/>
          <w:sz w:val="22"/>
          <w:szCs w:val="22"/>
        </w:rPr>
      </w:pPr>
      <w:r w:rsidRPr="00727785">
        <w:rPr>
          <w:rFonts w:ascii="Arial" w:hAnsi="Arial" w:cs="Arial"/>
          <w:sz w:val="22"/>
          <w:szCs w:val="22"/>
        </w:rPr>
        <w:t xml:space="preserve">The State of New Jersey provides both asynchronous and synchronous file transfer methodologies. </w:t>
      </w:r>
    </w:p>
    <w:p w14:paraId="637729A2" w14:textId="77777777" w:rsidR="00727785" w:rsidRPr="00727785" w:rsidRDefault="00727785" w:rsidP="00727785">
      <w:pPr>
        <w:jc w:val="both"/>
        <w:rPr>
          <w:rFonts w:ascii="Arial" w:hAnsi="Arial" w:cs="Arial"/>
          <w:iCs/>
          <w:sz w:val="22"/>
          <w:szCs w:val="22"/>
        </w:rPr>
      </w:pPr>
      <w:r w:rsidRPr="00727785">
        <w:rPr>
          <w:rFonts w:ascii="Arial" w:hAnsi="Arial" w:cs="Arial"/>
          <w:sz w:val="22"/>
          <w:szCs w:val="22"/>
        </w:rPr>
        <w:t>Synchronous:</w:t>
      </w:r>
    </w:p>
    <w:p w14:paraId="6D850F34" w14:textId="77777777" w:rsidR="00727785" w:rsidRPr="00727785" w:rsidRDefault="00727785" w:rsidP="00727785">
      <w:pPr>
        <w:jc w:val="both"/>
        <w:rPr>
          <w:rFonts w:ascii="Arial" w:hAnsi="Arial" w:cs="Arial"/>
          <w:sz w:val="22"/>
          <w:szCs w:val="22"/>
        </w:rPr>
      </w:pPr>
    </w:p>
    <w:p w14:paraId="24A5388D" w14:textId="659C352F" w:rsidR="00727785" w:rsidRPr="00727785" w:rsidRDefault="00727785" w:rsidP="00727785">
      <w:pPr>
        <w:numPr>
          <w:ilvl w:val="0"/>
          <w:numId w:val="1"/>
        </w:numPr>
        <w:jc w:val="both"/>
        <w:rPr>
          <w:rFonts w:ascii="Arial" w:hAnsi="Arial" w:cs="Arial"/>
          <w:sz w:val="22"/>
          <w:szCs w:val="22"/>
        </w:rPr>
      </w:pPr>
      <w:r w:rsidRPr="00727785">
        <w:rPr>
          <w:rFonts w:ascii="Arial" w:hAnsi="Arial" w:cs="Arial"/>
          <w:sz w:val="22"/>
          <w:szCs w:val="22"/>
        </w:rPr>
        <w:t xml:space="preserve">Connect:Direct Secure + is a supported option for file exchange with the State of New Jersey IBM mainframe. </w:t>
      </w:r>
    </w:p>
    <w:p w14:paraId="71773A08" w14:textId="77777777" w:rsidR="00727785" w:rsidRPr="00727785" w:rsidRDefault="00727785" w:rsidP="00727785">
      <w:pPr>
        <w:ind w:left="1080"/>
        <w:jc w:val="both"/>
        <w:rPr>
          <w:rFonts w:ascii="Arial" w:hAnsi="Arial" w:cs="Arial"/>
          <w:sz w:val="22"/>
          <w:szCs w:val="22"/>
        </w:rPr>
      </w:pPr>
    </w:p>
    <w:p w14:paraId="05FA49AF" w14:textId="77777777" w:rsidR="00727785" w:rsidRPr="00727785" w:rsidRDefault="00727785" w:rsidP="00727785">
      <w:pPr>
        <w:numPr>
          <w:ilvl w:val="0"/>
          <w:numId w:val="1"/>
        </w:numPr>
        <w:jc w:val="both"/>
        <w:rPr>
          <w:rFonts w:ascii="Arial" w:hAnsi="Arial" w:cs="Arial"/>
          <w:sz w:val="22"/>
          <w:szCs w:val="22"/>
        </w:rPr>
      </w:pPr>
      <w:r w:rsidRPr="00727785">
        <w:rPr>
          <w:rFonts w:ascii="Arial" w:hAnsi="Arial" w:cs="Arial"/>
          <w:sz w:val="22"/>
          <w:szCs w:val="22"/>
        </w:rPr>
        <w:t> FTPS over SSL (Explicit – port 21) is a supported option for file exchange for connections originating from the State of New Jersey IBM Mainframe. Must support RFC2228.</w:t>
      </w:r>
    </w:p>
    <w:p w14:paraId="6DE96CF4" w14:textId="77777777" w:rsidR="00727785" w:rsidRPr="00727785" w:rsidRDefault="00727785" w:rsidP="00727785">
      <w:pPr>
        <w:jc w:val="both"/>
        <w:rPr>
          <w:rFonts w:ascii="Arial" w:hAnsi="Arial" w:cs="Arial"/>
          <w:sz w:val="22"/>
          <w:szCs w:val="22"/>
        </w:rPr>
      </w:pPr>
    </w:p>
    <w:p w14:paraId="2F05B731" w14:textId="77777777" w:rsidR="00727785" w:rsidRPr="00727785" w:rsidRDefault="00727785" w:rsidP="00727785">
      <w:pPr>
        <w:numPr>
          <w:ilvl w:val="0"/>
          <w:numId w:val="1"/>
        </w:numPr>
        <w:jc w:val="both"/>
        <w:rPr>
          <w:rFonts w:ascii="Arial" w:hAnsi="Arial" w:cs="Arial"/>
          <w:sz w:val="22"/>
          <w:szCs w:val="22"/>
        </w:rPr>
      </w:pPr>
      <w:r w:rsidRPr="00727785">
        <w:rPr>
          <w:rFonts w:ascii="Arial" w:hAnsi="Arial" w:cs="Arial"/>
          <w:sz w:val="22"/>
          <w:szCs w:val="22"/>
        </w:rPr>
        <w:t xml:space="preserve">SFTP (FTP over SSHv2 or greater) is a supported option for file exchange with State of New Jersey distributed servers (non-IBM Mainframe). </w:t>
      </w:r>
    </w:p>
    <w:p w14:paraId="095191AB" w14:textId="77777777" w:rsidR="00727785" w:rsidRPr="00727785" w:rsidRDefault="00727785" w:rsidP="00727785">
      <w:pPr>
        <w:jc w:val="both"/>
        <w:rPr>
          <w:rFonts w:ascii="Arial" w:hAnsi="Arial" w:cs="Arial"/>
          <w:sz w:val="22"/>
          <w:szCs w:val="22"/>
        </w:rPr>
      </w:pPr>
    </w:p>
    <w:p w14:paraId="194E0FCF" w14:textId="77777777" w:rsidR="00727785" w:rsidRPr="00727785" w:rsidRDefault="00727785" w:rsidP="00727785">
      <w:pPr>
        <w:jc w:val="both"/>
        <w:rPr>
          <w:rFonts w:ascii="Arial" w:hAnsi="Arial" w:cs="Arial"/>
          <w:sz w:val="22"/>
          <w:szCs w:val="22"/>
        </w:rPr>
      </w:pPr>
      <w:r w:rsidRPr="00727785">
        <w:rPr>
          <w:rFonts w:ascii="Arial" w:hAnsi="Arial" w:cs="Arial"/>
          <w:sz w:val="22"/>
          <w:szCs w:val="22"/>
        </w:rPr>
        <w:t>Asynchronous:</w:t>
      </w:r>
    </w:p>
    <w:p w14:paraId="62C14500" w14:textId="77777777" w:rsidR="00727785" w:rsidRPr="00727785" w:rsidRDefault="00727785" w:rsidP="00727785">
      <w:pPr>
        <w:jc w:val="both"/>
        <w:rPr>
          <w:rFonts w:ascii="Arial" w:hAnsi="Arial" w:cs="Arial"/>
          <w:sz w:val="22"/>
          <w:szCs w:val="22"/>
        </w:rPr>
      </w:pPr>
    </w:p>
    <w:p w14:paraId="2B80F1CF" w14:textId="02D6C58C" w:rsidR="00727785" w:rsidRPr="00727785" w:rsidRDefault="00903C0E" w:rsidP="00727785">
      <w:pPr>
        <w:numPr>
          <w:ilvl w:val="0"/>
          <w:numId w:val="2"/>
        </w:numPr>
        <w:jc w:val="both"/>
        <w:rPr>
          <w:rFonts w:ascii="Arial" w:hAnsi="Arial" w:cs="Arial"/>
          <w:sz w:val="22"/>
          <w:szCs w:val="22"/>
        </w:rPr>
      </w:pPr>
      <w:r w:rsidRPr="00903C0E">
        <w:rPr>
          <w:rFonts w:ascii="Arial" w:hAnsi="Arial" w:cs="Arial"/>
          <w:sz w:val="22"/>
          <w:szCs w:val="22"/>
        </w:rPr>
        <w:t>The State of New Jersey’s MOVEit Cloud is a supported option for non-automated or “ad-hoc” file exchange with State of New Jersey.</w:t>
      </w:r>
    </w:p>
    <w:p w14:paraId="0CC95FC1" w14:textId="77777777" w:rsidR="00727785" w:rsidRPr="00727785" w:rsidRDefault="00727785" w:rsidP="00727785">
      <w:pPr>
        <w:ind w:left="675"/>
        <w:jc w:val="both"/>
        <w:rPr>
          <w:rFonts w:ascii="Arial" w:hAnsi="Arial" w:cs="Arial"/>
          <w:sz w:val="22"/>
          <w:szCs w:val="22"/>
        </w:rPr>
      </w:pPr>
    </w:p>
    <w:p w14:paraId="246B2284" w14:textId="046536F2" w:rsidR="00727785" w:rsidRPr="00727785" w:rsidRDefault="00727785" w:rsidP="00727785">
      <w:pPr>
        <w:numPr>
          <w:ilvl w:val="0"/>
          <w:numId w:val="2"/>
        </w:numPr>
        <w:jc w:val="both"/>
        <w:rPr>
          <w:rFonts w:ascii="Arial" w:hAnsi="Arial" w:cs="Arial"/>
          <w:sz w:val="22"/>
          <w:szCs w:val="22"/>
        </w:rPr>
      </w:pPr>
      <w:r w:rsidRPr="00727785">
        <w:rPr>
          <w:rFonts w:ascii="Arial" w:hAnsi="Arial" w:cs="Arial"/>
          <w:sz w:val="22"/>
          <w:szCs w:val="22"/>
        </w:rPr>
        <w:t> </w:t>
      </w:r>
      <w:r w:rsidR="00903C0E" w:rsidRPr="00903C0E">
        <w:rPr>
          <w:rFonts w:ascii="Arial" w:hAnsi="Arial" w:cs="Arial"/>
          <w:sz w:val="22"/>
          <w:szCs w:val="22"/>
        </w:rPr>
        <w:t>The State of New Jersey’s MOVEit Cloud Automation is a supported option for automated file exchange with the State of New Jersey.</w:t>
      </w:r>
    </w:p>
    <w:p w14:paraId="3D17ECA8" w14:textId="77777777" w:rsidR="00727785" w:rsidRPr="00727785" w:rsidRDefault="00727785" w:rsidP="00727785">
      <w:pPr>
        <w:jc w:val="both"/>
        <w:rPr>
          <w:szCs w:val="24"/>
        </w:rPr>
      </w:pPr>
    </w:p>
    <w:p w14:paraId="59DEC68A" w14:textId="77777777" w:rsidR="00727785" w:rsidRPr="00727785" w:rsidRDefault="00727785" w:rsidP="00727785">
      <w:pPr>
        <w:jc w:val="both"/>
        <w:rPr>
          <w:rFonts w:ascii="Arial" w:hAnsi="Arial" w:cs="Arial"/>
          <w:sz w:val="22"/>
          <w:szCs w:val="22"/>
        </w:rPr>
      </w:pPr>
      <w:r w:rsidRPr="00727785">
        <w:rPr>
          <w:rFonts w:ascii="Arial" w:hAnsi="Arial" w:cs="Arial"/>
          <w:sz w:val="22"/>
          <w:szCs w:val="22"/>
        </w:rPr>
        <w:t xml:space="preserve">The contractor will be required to test the file transfer with the State system on all file transfers prior to full implementation. </w:t>
      </w:r>
    </w:p>
    <w:p w14:paraId="52739059" w14:textId="77777777" w:rsidR="00727785" w:rsidRPr="00727785" w:rsidRDefault="00727785" w:rsidP="00727785">
      <w:pPr>
        <w:ind w:left="360"/>
        <w:jc w:val="both"/>
        <w:rPr>
          <w:rFonts w:ascii="Arial" w:hAnsi="Arial" w:cs="Arial"/>
          <w:sz w:val="22"/>
          <w:szCs w:val="22"/>
        </w:rPr>
      </w:pPr>
    </w:p>
    <w:p w14:paraId="3675759B" w14:textId="77777777" w:rsidR="00727785" w:rsidRPr="00727785" w:rsidRDefault="00727785" w:rsidP="00727785">
      <w:pPr>
        <w:jc w:val="both"/>
        <w:rPr>
          <w:rFonts w:ascii="Arial" w:hAnsi="Arial" w:cs="Arial"/>
          <w:sz w:val="22"/>
          <w:szCs w:val="22"/>
        </w:rPr>
      </w:pPr>
      <w:r w:rsidRPr="00727785">
        <w:rPr>
          <w:rFonts w:ascii="Arial" w:hAnsi="Arial" w:cs="Arial"/>
          <w:sz w:val="22"/>
          <w:szCs w:val="22"/>
        </w:rPr>
        <w:t>During the life of the contract, the State may revise or change the file transfer method and/or format for the transmission of files to accommodate real time processing, and use case specific information and the contractor shall be required to conform to all requirements.</w:t>
      </w:r>
    </w:p>
    <w:p w14:paraId="532D9BE4" w14:textId="77777777" w:rsidR="00727785" w:rsidRPr="00727785" w:rsidRDefault="00727785" w:rsidP="00727785">
      <w:pPr>
        <w:ind w:left="360"/>
        <w:jc w:val="both"/>
        <w:rPr>
          <w:rFonts w:ascii="Arial" w:hAnsi="Arial" w:cs="Arial"/>
          <w:sz w:val="22"/>
          <w:szCs w:val="22"/>
        </w:rPr>
      </w:pPr>
    </w:p>
    <w:p w14:paraId="17C258D7" w14:textId="77777777" w:rsidR="00727785" w:rsidRPr="00727785" w:rsidRDefault="00727785" w:rsidP="00727785">
      <w:pPr>
        <w:jc w:val="both"/>
        <w:rPr>
          <w:rFonts w:ascii="Arial" w:hAnsi="Arial" w:cs="Arial"/>
          <w:sz w:val="22"/>
          <w:szCs w:val="22"/>
        </w:rPr>
      </w:pPr>
      <w:r w:rsidRPr="00727785">
        <w:rPr>
          <w:rFonts w:ascii="Arial" w:hAnsi="Arial" w:cs="Arial"/>
          <w:sz w:val="22"/>
          <w:szCs w:val="22"/>
        </w:rPr>
        <w:t>Reference:</w:t>
      </w:r>
    </w:p>
    <w:p w14:paraId="15D6EFDF" w14:textId="77777777" w:rsidR="00727785" w:rsidRPr="00727785" w:rsidRDefault="00727785" w:rsidP="00727785">
      <w:pPr>
        <w:ind w:left="360"/>
        <w:jc w:val="both"/>
        <w:rPr>
          <w:rFonts w:ascii="Arial" w:hAnsi="Arial" w:cs="Arial"/>
          <w:sz w:val="22"/>
          <w:szCs w:val="22"/>
        </w:rPr>
      </w:pPr>
    </w:p>
    <w:p w14:paraId="71BD0797" w14:textId="39F9A667" w:rsidR="00727785" w:rsidRPr="00727785" w:rsidRDefault="00727785" w:rsidP="00727785">
      <w:pPr>
        <w:spacing w:after="360"/>
        <w:jc w:val="both"/>
        <w:rPr>
          <w:rFonts w:ascii="Helvetica" w:hAnsi="Helvetica"/>
          <w:spacing w:val="-5"/>
          <w:sz w:val="20"/>
        </w:rPr>
      </w:pPr>
      <w:r w:rsidRPr="00727785">
        <w:rPr>
          <w:rFonts w:ascii="Arial" w:hAnsi="Arial" w:cs="Arial"/>
          <w:bCs/>
          <w:color w:val="000000"/>
          <w:sz w:val="22"/>
          <w:szCs w:val="22"/>
        </w:rPr>
        <w:t>NIST Special Publication 800-47 - Security Guide for Interconnecting Information Technology Systems</w:t>
      </w:r>
      <w:r w:rsidRPr="00727785">
        <w:rPr>
          <w:rFonts w:ascii="Arial" w:hAnsi="Arial" w:cs="Arial"/>
          <w:sz w:val="22"/>
          <w:szCs w:val="22"/>
        </w:rPr>
        <w:t xml:space="preserve"> (</w:t>
      </w:r>
      <w:hyperlink r:id="rId15" w:history="1">
        <w:r w:rsidR="00903C0E" w:rsidRPr="00903C0E">
          <w:rPr>
            <w:rStyle w:val="Hyperlink"/>
          </w:rPr>
          <w:t>https://csrc.nist.gov/publications/detail/sp/800-47/rev-1/final</w:t>
        </w:r>
      </w:hyperlink>
      <w:r w:rsidRPr="00727785">
        <w:rPr>
          <w:rFonts w:ascii="Arial" w:hAnsi="Arial" w:cs="Arial"/>
          <w:sz w:val="22"/>
          <w:szCs w:val="22"/>
        </w:rPr>
        <w:t>)</w:t>
      </w:r>
    </w:p>
    <w:p w14:paraId="7BD913ED" w14:textId="77777777" w:rsidR="00727785" w:rsidRDefault="00727785"/>
    <w:sectPr w:rsidR="00727785" w:rsidSect="00214215">
      <w:headerReference w:type="default"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771A8" w14:textId="77777777" w:rsidR="003A51F9" w:rsidRDefault="003A51F9" w:rsidP="00DF4454">
      <w:r>
        <w:separator/>
      </w:r>
    </w:p>
  </w:endnote>
  <w:endnote w:type="continuationSeparator" w:id="0">
    <w:p w14:paraId="584FB827" w14:textId="77777777" w:rsidR="003A51F9" w:rsidRDefault="003A51F9" w:rsidP="00DF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CEB5" w14:textId="77777777" w:rsidR="00DF4454" w:rsidRDefault="00744A20">
    <w:pPr>
      <w:pStyle w:val="Footer"/>
    </w:pPr>
    <w:r>
      <w:rPr>
        <w:noProof/>
      </w:rPr>
      <w:drawing>
        <wp:inline distT="0" distB="0" distL="0" distR="0" wp14:anchorId="4B13B771" wp14:editId="4E714AC8">
          <wp:extent cx="5486400" cy="117475"/>
          <wp:effectExtent l="25400" t="0" r="0" b="0"/>
          <wp:docPr id="4" name="Picture 3" descr="portrait_foote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ait_footer.eps"/>
                  <pic:cNvPicPr/>
                </pic:nvPicPr>
                <pic:blipFill>
                  <a:blip r:embed="rId1"/>
                  <a:stretch>
                    <a:fillRect/>
                  </a:stretch>
                </pic:blipFill>
                <pic:spPr>
                  <a:xfrm>
                    <a:off x="0" y="0"/>
                    <a:ext cx="5486400" cy="117475"/>
                  </a:xfrm>
                  <a:prstGeom prst="rect">
                    <a:avLst/>
                  </a:prstGeom>
                </pic:spPr>
              </pic:pic>
            </a:graphicData>
          </a:graphic>
        </wp:inline>
      </w:drawing>
    </w:r>
  </w:p>
  <w:p w14:paraId="7D28B750" w14:textId="1C92E3FD" w:rsidR="00727785" w:rsidRPr="00727785" w:rsidRDefault="00903C0E" w:rsidP="00727785">
    <w:pPr>
      <w:pStyle w:val="Footer"/>
      <w:jc w:val="center"/>
      <w:rPr>
        <w:b/>
        <w:sz w:val="28"/>
        <w:szCs w:val="28"/>
      </w:rPr>
    </w:pPr>
    <w:r>
      <w:rPr>
        <w:b/>
        <w:sz w:val="28"/>
        <w:szCs w:val="28"/>
      </w:rPr>
      <w:t xml:space="preserve">REV </w:t>
    </w:r>
    <w:r w:rsidR="00B94D79">
      <w:rPr>
        <w:b/>
        <w:sz w:val="28"/>
        <w:szCs w:val="28"/>
      </w:rPr>
      <w:t>12/16</w:t>
    </w:r>
    <w:r>
      <w:rPr>
        <w:b/>
        <w:sz w:val="28"/>
        <w:szCs w:val="28"/>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350B5" w14:textId="77777777" w:rsidR="003A51F9" w:rsidRDefault="003A51F9" w:rsidP="00DF4454">
      <w:r>
        <w:separator/>
      </w:r>
    </w:p>
  </w:footnote>
  <w:footnote w:type="continuationSeparator" w:id="0">
    <w:p w14:paraId="02A4D3C1" w14:textId="77777777" w:rsidR="003A51F9" w:rsidRDefault="003A51F9" w:rsidP="00DF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F169F" w14:textId="77777777" w:rsidR="00DF4454" w:rsidRPr="00727785" w:rsidRDefault="00744A20" w:rsidP="00727785">
    <w:pPr>
      <w:pStyle w:val="Header"/>
      <w:jc w:val="right"/>
      <w:rPr>
        <w:b/>
      </w:rPr>
    </w:pPr>
    <w:r w:rsidRPr="00727785">
      <w:rPr>
        <w:b/>
        <w:noProof/>
      </w:rPr>
      <w:drawing>
        <wp:anchor distT="0" distB="0" distL="114300" distR="114300" simplePos="0" relativeHeight="251658240" behindDoc="0" locked="0" layoutInCell="1" allowOverlap="1" wp14:anchorId="37E0479D" wp14:editId="32283205">
          <wp:simplePos x="0" y="0"/>
          <wp:positionH relativeFrom="column">
            <wp:posOffset>25400</wp:posOffset>
          </wp:positionH>
          <wp:positionV relativeFrom="paragraph">
            <wp:posOffset>0</wp:posOffset>
          </wp:positionV>
          <wp:extent cx="5486400" cy="636905"/>
          <wp:effectExtent l="0" t="0" r="0" b="0"/>
          <wp:wrapThrough wrapText="bothSides">
            <wp:wrapPolygon edited="0">
              <wp:start x="675" y="0"/>
              <wp:lineTo x="0" y="2584"/>
              <wp:lineTo x="0" y="17444"/>
              <wp:lineTo x="600" y="20674"/>
              <wp:lineTo x="1800" y="20674"/>
              <wp:lineTo x="21525" y="16152"/>
              <wp:lineTo x="21525" y="12275"/>
              <wp:lineTo x="20250" y="8399"/>
              <wp:lineTo x="19425" y="3876"/>
              <wp:lineTo x="1800" y="0"/>
              <wp:lineTo x="675" y="0"/>
            </wp:wrapPolygon>
          </wp:wrapThrough>
          <wp:docPr id="3" name="Picture 2" descr="portrait_heade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ait_header.eps"/>
                  <pic:cNvPicPr/>
                </pic:nvPicPr>
                <pic:blipFill>
                  <a:blip r:embed="rId1">
                    <a:extLst>
                      <a:ext uri="{28A0092B-C50C-407E-A947-70E740481C1C}">
                        <a14:useLocalDpi xmlns:a14="http://schemas.microsoft.com/office/drawing/2010/main" val="0"/>
                      </a:ext>
                    </a:extLst>
                  </a:blip>
                  <a:stretch>
                    <a:fillRect/>
                  </a:stretch>
                </pic:blipFill>
                <pic:spPr>
                  <a:xfrm>
                    <a:off x="0" y="0"/>
                    <a:ext cx="5486400" cy="636905"/>
                  </a:xfrm>
                  <a:prstGeom prst="rect">
                    <a:avLst/>
                  </a:prstGeom>
                </pic:spPr>
              </pic:pic>
            </a:graphicData>
          </a:graphic>
        </wp:anchor>
      </w:drawing>
    </w:r>
    <w:r w:rsidR="00727785" w:rsidRPr="00727785">
      <w:rPr>
        <w:b/>
      </w:rPr>
      <w:t>EXHIBIT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19D2"/>
    <w:multiLevelType w:val="hybridMultilevel"/>
    <w:tmpl w:val="4C3E5772"/>
    <w:lvl w:ilvl="0" w:tplc="04090011">
      <w:start w:val="1"/>
      <w:numFmt w:val="decimal"/>
      <w:lvlText w:val="%1)"/>
      <w:lvlJc w:val="left"/>
      <w:pPr>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 w15:restartNumberingAfterBreak="0">
    <w:nsid w:val="40036D92"/>
    <w:multiLevelType w:val="hybridMultilevel"/>
    <w:tmpl w:val="300CC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52D4B"/>
    <w:multiLevelType w:val="hybridMultilevel"/>
    <w:tmpl w:val="D6E808B8"/>
    <w:lvl w:ilvl="0" w:tplc="F5D8F4D2">
      <w:start w:val="1"/>
      <w:numFmt w:val="decimal"/>
      <w:lvlText w:val="%1)"/>
      <w:lvlJc w:val="left"/>
      <w:pPr>
        <w:ind w:left="360" w:hanging="360"/>
      </w:pPr>
      <w:rPr>
        <w:rFonts w:cs="Times New Roman"/>
      </w:rPr>
    </w:lvl>
    <w:lvl w:ilvl="1" w:tplc="04090019">
      <w:start w:val="1"/>
      <w:numFmt w:val="decimal"/>
      <w:lvlText w:val="%2."/>
      <w:lvlJc w:val="left"/>
      <w:pPr>
        <w:tabs>
          <w:tab w:val="num" w:pos="1125"/>
        </w:tabs>
        <w:ind w:left="1125" w:hanging="360"/>
      </w:pPr>
      <w:rPr>
        <w:rFonts w:cs="Times New Roman"/>
      </w:rPr>
    </w:lvl>
    <w:lvl w:ilvl="2" w:tplc="0409001B">
      <w:start w:val="1"/>
      <w:numFmt w:val="decimal"/>
      <w:lvlText w:val="%3."/>
      <w:lvlJc w:val="left"/>
      <w:pPr>
        <w:tabs>
          <w:tab w:val="num" w:pos="1845"/>
        </w:tabs>
        <w:ind w:left="1845" w:hanging="360"/>
      </w:pPr>
      <w:rPr>
        <w:rFonts w:cs="Times New Roman"/>
      </w:rPr>
    </w:lvl>
    <w:lvl w:ilvl="3" w:tplc="0409000F">
      <w:start w:val="1"/>
      <w:numFmt w:val="decimal"/>
      <w:lvlText w:val="%4."/>
      <w:lvlJc w:val="left"/>
      <w:pPr>
        <w:tabs>
          <w:tab w:val="num" w:pos="2565"/>
        </w:tabs>
        <w:ind w:left="2565" w:hanging="360"/>
      </w:pPr>
      <w:rPr>
        <w:rFonts w:cs="Times New Roman"/>
      </w:rPr>
    </w:lvl>
    <w:lvl w:ilvl="4" w:tplc="04090019">
      <w:start w:val="1"/>
      <w:numFmt w:val="decimal"/>
      <w:lvlText w:val="%5."/>
      <w:lvlJc w:val="left"/>
      <w:pPr>
        <w:tabs>
          <w:tab w:val="num" w:pos="3285"/>
        </w:tabs>
        <w:ind w:left="3285" w:hanging="360"/>
      </w:pPr>
      <w:rPr>
        <w:rFonts w:cs="Times New Roman"/>
      </w:rPr>
    </w:lvl>
    <w:lvl w:ilvl="5" w:tplc="0409001B">
      <w:start w:val="1"/>
      <w:numFmt w:val="decimal"/>
      <w:lvlText w:val="%6."/>
      <w:lvlJc w:val="left"/>
      <w:pPr>
        <w:tabs>
          <w:tab w:val="num" w:pos="4005"/>
        </w:tabs>
        <w:ind w:left="4005" w:hanging="360"/>
      </w:pPr>
      <w:rPr>
        <w:rFonts w:cs="Times New Roman"/>
      </w:rPr>
    </w:lvl>
    <w:lvl w:ilvl="6" w:tplc="0409000F">
      <w:start w:val="1"/>
      <w:numFmt w:val="decimal"/>
      <w:lvlText w:val="%7."/>
      <w:lvlJc w:val="left"/>
      <w:pPr>
        <w:tabs>
          <w:tab w:val="num" w:pos="4725"/>
        </w:tabs>
        <w:ind w:left="4725" w:hanging="360"/>
      </w:pPr>
      <w:rPr>
        <w:rFonts w:cs="Times New Roman"/>
      </w:rPr>
    </w:lvl>
    <w:lvl w:ilvl="7" w:tplc="04090019">
      <w:start w:val="1"/>
      <w:numFmt w:val="decimal"/>
      <w:lvlText w:val="%8."/>
      <w:lvlJc w:val="left"/>
      <w:pPr>
        <w:tabs>
          <w:tab w:val="num" w:pos="5445"/>
        </w:tabs>
        <w:ind w:left="5445" w:hanging="360"/>
      </w:pPr>
      <w:rPr>
        <w:rFonts w:cs="Times New Roman"/>
      </w:rPr>
    </w:lvl>
    <w:lvl w:ilvl="8" w:tplc="0409001B">
      <w:start w:val="1"/>
      <w:numFmt w:val="decimal"/>
      <w:lvlText w:val="%9."/>
      <w:lvlJc w:val="left"/>
      <w:pPr>
        <w:tabs>
          <w:tab w:val="num" w:pos="6165"/>
        </w:tabs>
        <w:ind w:left="6165" w:hanging="360"/>
      </w:pPr>
      <w:rPr>
        <w:rFonts w:cs="Times New Roman"/>
      </w:rPr>
    </w:lvl>
  </w:abstractNum>
  <w:abstractNum w:abstractNumId="3" w15:restartNumberingAfterBreak="0">
    <w:nsid w:val="54F92D72"/>
    <w:multiLevelType w:val="hybridMultilevel"/>
    <w:tmpl w:val="332A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F0ADC"/>
    <w:multiLevelType w:val="hybridMultilevel"/>
    <w:tmpl w:val="79B4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85"/>
    <w:rsid w:val="00264AC9"/>
    <w:rsid w:val="003A51F9"/>
    <w:rsid w:val="00727785"/>
    <w:rsid w:val="00744A20"/>
    <w:rsid w:val="00800FD7"/>
    <w:rsid w:val="00836921"/>
    <w:rsid w:val="00842719"/>
    <w:rsid w:val="00903C0E"/>
    <w:rsid w:val="00963C65"/>
    <w:rsid w:val="00971607"/>
    <w:rsid w:val="00B94D79"/>
    <w:rsid w:val="00BF09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4C3CD5"/>
  <w15:docId w15:val="{2C92E6D4-A33B-42C7-BE8E-50EF7C15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21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454"/>
    <w:pPr>
      <w:tabs>
        <w:tab w:val="center" w:pos="4680"/>
        <w:tab w:val="right" w:pos="9360"/>
      </w:tabs>
    </w:pPr>
  </w:style>
  <w:style w:type="character" w:customStyle="1" w:styleId="HeaderChar">
    <w:name w:val="Header Char"/>
    <w:basedOn w:val="DefaultParagraphFont"/>
    <w:link w:val="Header"/>
    <w:uiPriority w:val="99"/>
    <w:rsid w:val="00DF4454"/>
    <w:rPr>
      <w:sz w:val="24"/>
    </w:rPr>
  </w:style>
  <w:style w:type="paragraph" w:styleId="Footer">
    <w:name w:val="footer"/>
    <w:basedOn w:val="Normal"/>
    <w:link w:val="FooterChar"/>
    <w:uiPriority w:val="99"/>
    <w:unhideWhenUsed/>
    <w:rsid w:val="00DF4454"/>
    <w:pPr>
      <w:tabs>
        <w:tab w:val="center" w:pos="4680"/>
        <w:tab w:val="right" w:pos="9360"/>
      </w:tabs>
    </w:pPr>
  </w:style>
  <w:style w:type="character" w:customStyle="1" w:styleId="FooterChar">
    <w:name w:val="Footer Char"/>
    <w:basedOn w:val="DefaultParagraphFont"/>
    <w:link w:val="Footer"/>
    <w:uiPriority w:val="99"/>
    <w:rsid w:val="00DF4454"/>
    <w:rPr>
      <w:sz w:val="24"/>
    </w:rPr>
  </w:style>
  <w:style w:type="table" w:customStyle="1" w:styleId="TableGrid1">
    <w:name w:val="Table Grid1"/>
    <w:basedOn w:val="TableNormal"/>
    <w:next w:val="TableGrid"/>
    <w:uiPriority w:val="59"/>
    <w:rsid w:val="007277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7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3C0E"/>
    <w:rPr>
      <w:color w:val="0563C1" w:themeColor="hyperlink"/>
      <w:u w:val="single"/>
    </w:rPr>
  </w:style>
  <w:style w:type="character" w:customStyle="1" w:styleId="UnresolvedMention">
    <w:name w:val="Unresolved Mention"/>
    <w:basedOn w:val="DefaultParagraphFont"/>
    <w:uiPriority w:val="99"/>
    <w:semiHidden/>
    <w:unhideWhenUsed/>
    <w:rsid w:val="00903C0E"/>
    <w:rPr>
      <w:color w:val="605E5C"/>
      <w:shd w:val="clear" w:color="auto" w:fill="E1DFDD"/>
    </w:rPr>
  </w:style>
  <w:style w:type="paragraph" w:styleId="Revision">
    <w:name w:val="Revision"/>
    <w:hidden/>
    <w:uiPriority w:val="99"/>
    <w:semiHidden/>
    <w:rsid w:val="00800F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csrc.nist.gov/publications/detail/sp/800-47/rev-1/final" TargetMode="External"/><Relationship Id="rId10" Type="http://schemas.openxmlformats.org/officeDocument/2006/relationships/package" Target="embeddings/Microsoft_Visio_Drawing1.vsdx"/><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qgash\Documents\OIT\njoit_portrait_branding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njoit_portrait_branding_template.dotx</Template>
  <TotalTime>1</TotalTime>
  <Pages>6</Pages>
  <Words>945</Words>
  <Characters>5391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NJ</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oixtemp</dc:creator>
  <cp:keywords/>
  <dc:description/>
  <cp:lastModifiedBy>Fornier, Judy</cp:lastModifiedBy>
  <cp:revision>2</cp:revision>
  <dcterms:created xsi:type="dcterms:W3CDTF">2023-06-05T21:06:00Z</dcterms:created>
  <dcterms:modified xsi:type="dcterms:W3CDTF">2023-06-05T21:06:00Z</dcterms:modified>
</cp:coreProperties>
</file>