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557" w14:textId="3E2EEC62" w:rsidR="00DB32E7" w:rsidRDefault="006D2122">
      <w:hyperlink r:id="rId4" w:history="1">
        <w:r w:rsidRPr="007874EF">
          <w:rPr>
            <w:rStyle w:val="Hyperlink"/>
          </w:rPr>
          <w:t>https://seao.gouv.qc.ca/avis-resultat-recherche/consulter?ItemId=112c9702-d8b2-450d-b4b6-05a4626a44f5</w:t>
        </w:r>
      </w:hyperlink>
    </w:p>
    <w:p w14:paraId="6CA5C4BA" w14:textId="77777777" w:rsidR="006D2122" w:rsidRDefault="006D2122"/>
    <w:p w14:paraId="1D442051" w14:textId="77777777" w:rsidR="00637615" w:rsidRDefault="00637615" w:rsidP="00637615">
      <w:r>
        <w:t>Consulter un avis</w:t>
      </w:r>
    </w:p>
    <w:p w14:paraId="5998964C" w14:textId="77777777" w:rsidR="00637615" w:rsidRDefault="00637615" w:rsidP="00637615"/>
    <w:p w14:paraId="4DCAB767" w14:textId="77777777" w:rsidR="00637615" w:rsidRDefault="00637615" w:rsidP="00637615">
      <w:r>
        <w:t>Numéro:</w:t>
      </w:r>
    </w:p>
    <w:p w14:paraId="74EAC36E" w14:textId="77777777" w:rsidR="00637615" w:rsidRDefault="00637615" w:rsidP="00637615">
      <w:r>
        <w:t xml:space="preserve">    AO-AMD-25-022</w:t>
      </w:r>
    </w:p>
    <w:p w14:paraId="6D584B12" w14:textId="77777777" w:rsidR="00637615" w:rsidRDefault="00637615" w:rsidP="00637615"/>
    <w:p w14:paraId="6F44D1F8" w14:textId="77777777" w:rsidR="00637615" w:rsidRDefault="00637615" w:rsidP="00637615">
      <w:r>
        <w:t>Numéro de référence:</w:t>
      </w:r>
    </w:p>
    <w:p w14:paraId="3E380E9B" w14:textId="77777777" w:rsidR="00637615" w:rsidRDefault="00637615" w:rsidP="00637615">
      <w:r>
        <w:t xml:space="preserve">    20095393</w:t>
      </w:r>
    </w:p>
    <w:p w14:paraId="07951F5D" w14:textId="77777777" w:rsidR="00637615" w:rsidRDefault="00637615" w:rsidP="00637615"/>
    <w:p w14:paraId="7EE0D819" w14:textId="77777777" w:rsidR="00637615" w:rsidRDefault="00637615" w:rsidP="00637615">
      <w:r>
        <w:t>Type de l’avis:</w:t>
      </w:r>
    </w:p>
    <w:p w14:paraId="12CF2275" w14:textId="77777777" w:rsidR="00637615" w:rsidRDefault="00637615" w:rsidP="00637615">
      <w:r>
        <w:t xml:space="preserve">    Avis d’appel d’offres</w:t>
      </w:r>
    </w:p>
    <w:p w14:paraId="2F69A138" w14:textId="77777777" w:rsidR="00637615" w:rsidRDefault="00637615" w:rsidP="00637615"/>
    <w:p w14:paraId="025ABC76" w14:textId="77777777" w:rsidR="00637615" w:rsidRDefault="00637615" w:rsidP="00637615">
      <w:r>
        <w:t>Statut:</w:t>
      </w:r>
    </w:p>
    <w:p w14:paraId="6DFCA98C" w14:textId="77777777" w:rsidR="00637615" w:rsidRDefault="00637615" w:rsidP="00637615">
      <w:r>
        <w:t xml:space="preserve">    Publié</w:t>
      </w:r>
    </w:p>
    <w:p w14:paraId="11013FEC" w14:textId="77777777" w:rsidR="00637615" w:rsidRDefault="00637615" w:rsidP="00637615"/>
    <w:p w14:paraId="77FE060A" w14:textId="77777777" w:rsidR="00637615" w:rsidRDefault="00637615" w:rsidP="00637615">
      <w:r>
        <w:t>Titre:</w:t>
      </w:r>
    </w:p>
    <w:p w14:paraId="673AAE82" w14:textId="77777777" w:rsidR="00637615" w:rsidRDefault="00637615" w:rsidP="00637615">
      <w:r>
        <w:t xml:space="preserve">    Conception, développement, évolution et exploitation du site Web</w:t>
      </w:r>
    </w:p>
    <w:p w14:paraId="51459B40" w14:textId="77777777" w:rsidR="00637615" w:rsidRDefault="00637615" w:rsidP="00637615"/>
    <w:p w14:paraId="7661C0E9" w14:textId="77777777" w:rsidR="00637615" w:rsidRDefault="00637615" w:rsidP="00637615">
      <w:r>
        <w:t>Organisation:</w:t>
      </w:r>
    </w:p>
    <w:p w14:paraId="1F32A29B" w14:textId="77777777" w:rsidR="00637615" w:rsidRDefault="00637615" w:rsidP="00637615">
      <w:r>
        <w:t xml:space="preserve">    Agence de mobilité durable</w:t>
      </w:r>
    </w:p>
    <w:p w14:paraId="7494E6CD" w14:textId="77777777" w:rsidR="00637615" w:rsidRDefault="00637615" w:rsidP="00637615"/>
    <w:p w14:paraId="0F674627" w14:textId="77777777" w:rsidR="00637615" w:rsidRDefault="00637615" w:rsidP="00637615">
      <w:r>
        <w:t>Partager</w:t>
      </w:r>
    </w:p>
    <w:p w14:paraId="07FB0D6E" w14:textId="77777777" w:rsidR="00637615" w:rsidRDefault="00637615" w:rsidP="00637615">
      <w:r>
        <w:t>Résumé de l’avis</w:t>
      </w:r>
    </w:p>
    <w:p w14:paraId="453EDE79" w14:textId="77777777" w:rsidR="00637615" w:rsidRDefault="00637615" w:rsidP="00637615">
      <w:r>
        <w:t>Résumé de l’avis</w:t>
      </w:r>
    </w:p>
    <w:p w14:paraId="17E99390" w14:textId="77777777" w:rsidR="00637615" w:rsidRDefault="00637615" w:rsidP="00637615">
      <w:r>
        <w:t>Information</w:t>
      </w:r>
    </w:p>
    <w:p w14:paraId="76CEB95A" w14:textId="77777777" w:rsidR="00637615" w:rsidRDefault="00637615" w:rsidP="00637615"/>
    <w:p w14:paraId="73A99AD1" w14:textId="77777777" w:rsidR="00637615" w:rsidRDefault="00637615" w:rsidP="00637615">
      <w:r>
        <w:t>Délai pour la réception des offres</w:t>
      </w:r>
    </w:p>
    <w:p w14:paraId="4CA53E22" w14:textId="77777777" w:rsidR="00637615" w:rsidRDefault="00637615" w:rsidP="00637615">
      <w:r>
        <w:t xml:space="preserve">    25 jour(s) 1 heure(s) 21 minute(s) 55 seconde(s)</w:t>
      </w:r>
    </w:p>
    <w:p w14:paraId="7A4D8214" w14:textId="77777777" w:rsidR="00637615" w:rsidRDefault="00637615" w:rsidP="00637615">
      <w:r>
        <w:t>Date de publication</w:t>
      </w:r>
    </w:p>
    <w:p w14:paraId="0A843068" w14:textId="77777777" w:rsidR="00637615" w:rsidRDefault="00637615" w:rsidP="00637615">
      <w:r>
        <w:lastRenderedPageBreak/>
        <w:t xml:space="preserve">    2025-09-25 15:48:43 Heure légale du Québec</w:t>
      </w:r>
    </w:p>
    <w:p w14:paraId="0C41B211" w14:textId="77777777" w:rsidR="00637615" w:rsidRDefault="00637615" w:rsidP="00637615">
      <w:r>
        <w:t>Nature du contrat</w:t>
      </w:r>
    </w:p>
    <w:p w14:paraId="4F58F710" w14:textId="77777777" w:rsidR="00637615" w:rsidRDefault="00637615" w:rsidP="00637615">
      <w:r>
        <w:t xml:space="preserve">    Services professionnels</w:t>
      </w:r>
    </w:p>
    <w:p w14:paraId="230B0631" w14:textId="77777777" w:rsidR="00637615" w:rsidRDefault="00637615" w:rsidP="00637615">
      <w:r>
        <w:t>Date limite de réception des offres</w:t>
      </w:r>
    </w:p>
    <w:p w14:paraId="78F9566C" w14:textId="77777777" w:rsidR="00637615" w:rsidRDefault="00637615" w:rsidP="00637615">
      <w:r>
        <w:t xml:space="preserve">    2025-10-29 Au plus tard 10:00 Heure légale du Québec</w:t>
      </w:r>
    </w:p>
    <w:p w14:paraId="10755829" w14:textId="77777777" w:rsidR="00637615" w:rsidRDefault="00637615" w:rsidP="00637615">
      <w:r>
        <w:t>Date limite de réception des plaintes</w:t>
      </w:r>
    </w:p>
    <w:p w14:paraId="00C3D82B" w14:textId="77777777" w:rsidR="00637615" w:rsidRDefault="00637615" w:rsidP="00637615">
      <w:r>
        <w:t xml:space="preserve">    2025-10-14</w:t>
      </w:r>
    </w:p>
    <w:p w14:paraId="744890BB" w14:textId="77777777" w:rsidR="00637615" w:rsidRDefault="00637615" w:rsidP="00637615">
      <w:r>
        <w:t>Une adjudication par lot est prévue</w:t>
      </w:r>
    </w:p>
    <w:p w14:paraId="1EE54F19" w14:textId="77777777" w:rsidR="00637615" w:rsidRDefault="00637615" w:rsidP="00637615">
      <w:r>
        <w:t xml:space="preserve">    Non</w:t>
      </w:r>
    </w:p>
    <w:p w14:paraId="5E182628" w14:textId="77777777" w:rsidR="00637615" w:rsidRDefault="00637615" w:rsidP="00637615">
      <w:r>
        <w:t>Soumission transmise par voie électronique acceptée</w:t>
      </w:r>
    </w:p>
    <w:p w14:paraId="5F7CAF96" w14:textId="77777777" w:rsidR="00637615" w:rsidRDefault="00637615" w:rsidP="00637615">
      <w:r>
        <w:t xml:space="preserve">    Oui, via SEAO, avec deux documents</w:t>
      </w:r>
    </w:p>
    <w:p w14:paraId="4D68EC47" w14:textId="77777777" w:rsidR="00637615" w:rsidRDefault="00637615" w:rsidP="00637615">
      <w:r>
        <w:t>Remarque</w:t>
      </w:r>
    </w:p>
    <w:p w14:paraId="4D3D3104" w14:textId="77777777" w:rsidR="00637615" w:rsidRDefault="00637615" w:rsidP="00637615">
      <w:r>
        <w:t xml:space="preserve">    Le donneur d’ouvrage ne s’engage à accepter aucune des soumissions reçues</w:t>
      </w:r>
    </w:p>
    <w:p w14:paraId="3F8E3C65" w14:textId="77777777" w:rsidR="00637615" w:rsidRDefault="00637615" w:rsidP="00637615">
      <w:r>
        <w:t>Région(s) de livraison</w:t>
      </w:r>
    </w:p>
    <w:p w14:paraId="4EAFD5A4" w14:textId="77777777" w:rsidR="00637615" w:rsidRDefault="00637615" w:rsidP="00637615">
      <w:r>
        <w:t xml:space="preserve">    Montréal</w:t>
      </w:r>
    </w:p>
    <w:p w14:paraId="4AA3E472" w14:textId="77777777" w:rsidR="00637615" w:rsidRDefault="00637615" w:rsidP="00637615">
      <w:r>
        <w:t>Accord(s) applicable(s)</w:t>
      </w:r>
    </w:p>
    <w:p w14:paraId="0C7FCA86" w14:textId="77777777" w:rsidR="00637615" w:rsidRDefault="00637615" w:rsidP="00637615">
      <w:r>
        <w:t xml:space="preserve">    Accord Québec-Ontario (ACCQO), Accord économique et commercial global entre le Canada et l’Union européenne (AECG), Accord de libre-échange canadien (ALEC)</w:t>
      </w:r>
    </w:p>
    <w:p w14:paraId="1D8939BE" w14:textId="77777777" w:rsidR="00637615" w:rsidRDefault="00637615" w:rsidP="00637615">
      <w:r>
        <w:t>Territoires visés</w:t>
      </w:r>
    </w:p>
    <w:p w14:paraId="3478F74E" w14:textId="77777777" w:rsidR="00637615" w:rsidRDefault="00637615" w:rsidP="00637615">
      <w:r>
        <w:t xml:space="preserve">    Restreint aux territoires prévus dans les accords applicables</w:t>
      </w:r>
    </w:p>
    <w:p w14:paraId="1FB4378A" w14:textId="77777777" w:rsidR="00637615" w:rsidRDefault="00637615" w:rsidP="00637615">
      <w:r>
        <w:t>Endroit prévu pour la réception des soumissions</w:t>
      </w:r>
    </w:p>
    <w:p w14:paraId="5FC3788E" w14:textId="77777777" w:rsidR="00637615" w:rsidRDefault="00637615" w:rsidP="00637615">
      <w:r>
        <w:t xml:space="preserve">    2100, rue Drummond, bureau 500 Montréal QC CAN H3G1X1</w:t>
      </w:r>
    </w:p>
    <w:p w14:paraId="68F4CE1A" w14:textId="77777777" w:rsidR="00637615" w:rsidRDefault="00637615" w:rsidP="00637615">
      <w:r>
        <w:t>Endroit prévu pour l’ouverture des soumissions</w:t>
      </w:r>
    </w:p>
    <w:p w14:paraId="1293B894" w14:textId="77777777" w:rsidR="00637615" w:rsidRDefault="00637615" w:rsidP="00637615">
      <w:r>
        <w:t xml:space="preserve">    2100, rue Drummond, bureau 500 Montréal QC CAN H3G1X1</w:t>
      </w:r>
    </w:p>
    <w:p w14:paraId="481CC647" w14:textId="77777777" w:rsidR="00637615" w:rsidRDefault="00637615" w:rsidP="00637615">
      <w:r>
        <w:t>Durée prévue du contrat sans les options (en mois)</w:t>
      </w:r>
    </w:p>
    <w:p w14:paraId="12EF7AB2" w14:textId="77777777" w:rsidR="00637615" w:rsidRDefault="00637615" w:rsidP="00637615">
      <w:r>
        <w:t xml:space="preserve">    36</w:t>
      </w:r>
    </w:p>
    <w:p w14:paraId="0842BD88" w14:textId="77777777" w:rsidR="00637615" w:rsidRDefault="00637615" w:rsidP="00637615">
      <w:r>
        <w:t>Cet avis comporte des options de renouvellement</w:t>
      </w:r>
    </w:p>
    <w:p w14:paraId="036DCD19" w14:textId="77777777" w:rsidR="00637615" w:rsidRDefault="00637615" w:rsidP="00637615">
      <w:r>
        <w:t xml:space="preserve">    DEUX (2) période(s) additionnelle(s) d'UN (1) an(s) chacune.</w:t>
      </w:r>
    </w:p>
    <w:p w14:paraId="2661DE86" w14:textId="77777777" w:rsidR="00637615" w:rsidRDefault="00637615" w:rsidP="00637615">
      <w:r>
        <w:t>Durée prévue du contrat incluant les options (en mois)</w:t>
      </w:r>
    </w:p>
    <w:p w14:paraId="13A27520" w14:textId="77777777" w:rsidR="00637615" w:rsidRDefault="00637615" w:rsidP="00637615">
      <w:r>
        <w:t xml:space="preserve">    60</w:t>
      </w:r>
    </w:p>
    <w:p w14:paraId="5A741A2D" w14:textId="77777777" w:rsidR="00637615" w:rsidRDefault="00637615" w:rsidP="00637615"/>
    <w:p w14:paraId="331D0A1D" w14:textId="77777777" w:rsidR="00637615" w:rsidRDefault="00637615" w:rsidP="00637615">
      <w:r>
        <w:lastRenderedPageBreak/>
        <w:t>Information sur le donneur d’ouvrage</w:t>
      </w:r>
    </w:p>
    <w:p w14:paraId="7C19C53C" w14:textId="77777777" w:rsidR="00637615" w:rsidRDefault="00637615" w:rsidP="00637615">
      <w:r>
        <w:t>Agence de mobilité durable</w:t>
      </w:r>
    </w:p>
    <w:p w14:paraId="03B092AD" w14:textId="77777777" w:rsidR="00637615" w:rsidRDefault="00637615" w:rsidP="00637615">
      <w:r>
        <w:t>2100, rue Drummond, bureau 500 Montréal QC CAN H3G1X1</w:t>
      </w:r>
    </w:p>
    <w:p w14:paraId="27F79E56" w14:textId="77777777" w:rsidR="00637615" w:rsidRDefault="00637615" w:rsidP="00637615">
      <w:r>
        <w:t>Imane Kherrati.</w:t>
      </w:r>
    </w:p>
    <w:p w14:paraId="61821884" w14:textId="77777777" w:rsidR="00637615" w:rsidRDefault="00637615" w:rsidP="00637615">
      <w:r>
        <w:t>ikherrati@agencemobilitedurable.ca</w:t>
      </w:r>
    </w:p>
    <w:p w14:paraId="56F36089" w14:textId="77777777" w:rsidR="00637615" w:rsidRDefault="00637615" w:rsidP="00637615">
      <w:r>
        <w:t>Classifications et catégories</w:t>
      </w:r>
    </w:p>
    <w:p w14:paraId="51CB46C7" w14:textId="77777777" w:rsidR="00637615" w:rsidRDefault="00637615" w:rsidP="00637615"/>
    <w:p w14:paraId="7E67266B" w14:textId="77777777" w:rsidR="00637615" w:rsidRDefault="00637615" w:rsidP="00637615">
      <w:r>
        <w:t>Classifications</w:t>
      </w:r>
    </w:p>
    <w:p w14:paraId="5639C6D0" w14:textId="77777777" w:rsidR="00637615" w:rsidRDefault="00637615" w:rsidP="00637615">
      <w:r>
        <w:t xml:space="preserve">    81111509 - Développement d’applications client en réseau internet ou intranet</w:t>
      </w:r>
    </w:p>
    <w:p w14:paraId="018D01CB" w14:textId="77777777" w:rsidR="00637615" w:rsidRDefault="00637615" w:rsidP="00637615">
      <w:r>
        <w:t xml:space="preserve">    81112103 - Conception de sites web (www)</w:t>
      </w:r>
    </w:p>
    <w:p w14:paraId="198A6F43" w14:textId="77777777" w:rsidR="00637615" w:rsidRDefault="00637615" w:rsidP="00637615">
      <w:r>
        <w:t xml:space="preserve">    81112105 - Hébergement de sites web</w:t>
      </w:r>
    </w:p>
    <w:p w14:paraId="6EDB1EC0" w14:textId="77777777" w:rsidR="00637615" w:rsidRDefault="00637615" w:rsidP="00637615">
      <w:r>
        <w:t xml:space="preserve">    81112204 - Maintenance du logiciel du système d’exploitation</w:t>
      </w:r>
    </w:p>
    <w:p w14:paraId="6737A70B" w14:textId="77777777" w:rsidR="00637615" w:rsidRDefault="00637615" w:rsidP="00637615">
      <w:r>
        <w:t xml:space="preserve">    81112209 - Maintenance de logiciels de développement</w:t>
      </w:r>
    </w:p>
    <w:p w14:paraId="5D1039D2" w14:textId="77777777" w:rsidR="00637615" w:rsidRDefault="00637615" w:rsidP="00637615">
      <w:r>
        <w:t>Catégorie</w:t>
      </w:r>
    </w:p>
    <w:p w14:paraId="52870B8C" w14:textId="77777777" w:rsidR="00637615" w:rsidRDefault="00637615" w:rsidP="00637615">
      <w:r>
        <w:t xml:space="preserve">    S4 - Traitement de l’information et services de télécommunications connexes</w:t>
      </w:r>
    </w:p>
    <w:p w14:paraId="21D2E708" w14:textId="77777777" w:rsidR="00637615" w:rsidRDefault="00637615" w:rsidP="00637615"/>
    <w:p w14:paraId="32F5EA56" w14:textId="77777777" w:rsidR="00637615" w:rsidRDefault="00637615" w:rsidP="00637615">
      <w:r>
        <w:t>Description</w:t>
      </w:r>
    </w:p>
    <w:p w14:paraId="1F2BA336" w14:textId="77777777" w:rsidR="00637615" w:rsidRDefault="00637615" w:rsidP="00637615"/>
    <w:p w14:paraId="68210A68" w14:textId="77777777" w:rsidR="00637615" w:rsidRDefault="00637615" w:rsidP="00637615">
      <w:r>
        <w:t>L’Agence mène actuellement un projet qui vise à la Conception, développement, évolution et exploitation du site Web pour atteindre ses objectifs d'affaires et de communication, notamment sur l’amélioration de son positionnement comme acteur de la mobilité durable.  Dans le cadre de ce projet, l’Agence souhaite se doter d’une solution (Site web)  qui sera sera développée pour et déployée sur, l'environnement DXP composable fourni par l’Agence, qui déléguera certains droits de gestion à l’Adjudicataire</w:t>
      </w:r>
    </w:p>
    <w:p w14:paraId="56993609" w14:textId="77777777" w:rsidR="00637615" w:rsidRDefault="00637615" w:rsidP="00637615"/>
    <w:p w14:paraId="4EBAD395" w14:textId="77777777" w:rsidR="00637615" w:rsidRDefault="00637615" w:rsidP="00637615">
      <w:r>
        <w:t>L'Adjudicataire sera responsable de la livraison de bout en bout de la Solution, de la conception jusqu’à la stabilisation, et travaillera aussi à son évolution subséquente et son exploitation. Sa prestation devra couvrir l'ensemble des aspects fonctionnels, techniques et stratégiques pour livrer une Solution performante, sécuritaire et alignée sur la vision de l'expérience client de l’Agence.</w:t>
      </w:r>
    </w:p>
    <w:p w14:paraId="7053CC93" w14:textId="77777777" w:rsidR="00637615" w:rsidRDefault="00637615" w:rsidP="00637615">
      <w:r>
        <w:t>Documents</w:t>
      </w:r>
    </w:p>
    <w:p w14:paraId="59DC0E40" w14:textId="77777777" w:rsidR="00637615" w:rsidRDefault="00637615" w:rsidP="00637615">
      <w:r>
        <w:t>La visualisation des documents pour cet Avis est gratuite, mais l’identification de l’utilisateur est nécessaire pour visualiser.</w:t>
      </w:r>
    </w:p>
    <w:p w14:paraId="6A1B87FC" w14:textId="77777777" w:rsidR="00637615" w:rsidRDefault="00637615" w:rsidP="00637615"/>
    <w:p w14:paraId="3D3CCD7A" w14:textId="77777777" w:rsidR="00637615" w:rsidRDefault="00637615" w:rsidP="00637615">
      <w:r>
        <w:t xml:space="preserve">    Cliquer sur l’icône du document à visualiser</w:t>
      </w:r>
    </w:p>
    <w:p w14:paraId="60A38F9E" w14:textId="77777777" w:rsidR="00637615" w:rsidRDefault="00637615" w:rsidP="00637615">
      <w:r>
        <w:lastRenderedPageBreak/>
        <w:t xml:space="preserve">    S’identifier OU sélectionner «Inscription SEAO» et cliquer sur le bouton «Suivant»</w:t>
      </w:r>
    </w:p>
    <w:p w14:paraId="7DC9997B" w14:textId="77777777" w:rsidR="00637615" w:rsidRDefault="00637615" w:rsidP="00637615">
      <w:r>
        <w:t xml:space="preserve">    Remplir le formulaire d’inscription</w:t>
      </w:r>
    </w:p>
    <w:p w14:paraId="3A11F1E7" w14:textId="77777777" w:rsidR="00637615" w:rsidRDefault="00637615" w:rsidP="00637615">
      <w:r>
        <w:t xml:space="preserve">    Visualiser le document</w:t>
      </w:r>
    </w:p>
    <w:p w14:paraId="5D7A0C40" w14:textId="77777777" w:rsidR="00637615" w:rsidRDefault="00637615" w:rsidP="00637615"/>
    <w:p w14:paraId="2E34CB38" w14:textId="77777777" w:rsidR="00637615" w:rsidRDefault="00637615" w:rsidP="00637615">
      <w:r>
        <w:t>Le système permet cinq opérations de visualisation gratuites de chaque document accompagnant un avis.</w:t>
      </w:r>
    </w:p>
    <w:p w14:paraId="3A64E043" w14:textId="77777777" w:rsidR="00637615" w:rsidRDefault="00637615" w:rsidP="00637615">
      <w:r>
        <w:t>Titre</w:t>
      </w:r>
      <w:r>
        <w:tab/>
        <w:t>Type</w:t>
      </w:r>
      <w:r>
        <w:tab/>
        <w:t>Contenu</w:t>
      </w:r>
      <w:r>
        <w:tab/>
        <w:t>Langue</w:t>
      </w:r>
      <w:r>
        <w:tab/>
        <w:t>Dimension</w:t>
      </w:r>
      <w:r>
        <w:tab/>
        <w:t>Nombre de pages</w:t>
      </w:r>
      <w:r>
        <w:tab/>
        <w:t>Visualiser</w:t>
      </w:r>
    </w:p>
    <w:p w14:paraId="4AFC37AA" w14:textId="77777777" w:rsidR="00637615" w:rsidRDefault="00637615" w:rsidP="00637615">
      <w:r>
        <w:t>Devis Technique - AO-AMD-25-022</w:t>
      </w:r>
      <w:r>
        <w:tab/>
        <w:t>Devis</w:t>
      </w:r>
      <w:r>
        <w:tab/>
        <w:t>Document principal</w:t>
      </w:r>
      <w:r>
        <w:tab/>
        <w:t>Français</w:t>
      </w:r>
      <w:r>
        <w:tab/>
        <w:t>8 1/2 x 11 po.</w:t>
      </w:r>
      <w:r>
        <w:tab/>
        <w:t>75</w:t>
      </w:r>
      <w:r>
        <w:tab/>
      </w:r>
    </w:p>
    <w:p w14:paraId="48F05FFB" w14:textId="77777777" w:rsidR="00637615" w:rsidRDefault="00637615" w:rsidP="00637615">
      <w:r>
        <w:t>AO-AMD-25-022 - Bordereau de prix</w:t>
      </w:r>
      <w:r>
        <w:tab/>
        <w:t>Bordereau numérique</w:t>
      </w:r>
      <w:r>
        <w:tab/>
        <w:t>Document de support</w:t>
      </w:r>
      <w:r>
        <w:tab/>
        <w:t>Français</w:t>
      </w:r>
      <w:r>
        <w:tab/>
      </w:r>
      <w:r>
        <w:tab/>
        <w:t>1</w:t>
      </w:r>
      <w:r>
        <w:tab/>
      </w:r>
    </w:p>
    <w:p w14:paraId="489EF740" w14:textId="77777777" w:rsidR="00637615" w:rsidRDefault="00637615" w:rsidP="00637615">
      <w:r>
        <w:t>Contrat - AO-AMD-25-022</w:t>
      </w:r>
      <w:r>
        <w:tab/>
        <w:t>Devis</w:t>
      </w:r>
      <w:r>
        <w:tab/>
        <w:t>Document principal</w:t>
      </w:r>
      <w:r>
        <w:tab/>
        <w:t>Français</w:t>
      </w:r>
      <w:r>
        <w:tab/>
        <w:t>8 1/2 x 11 po.</w:t>
      </w:r>
      <w:r>
        <w:tab/>
        <w:t>49</w:t>
      </w:r>
      <w:r>
        <w:tab/>
      </w:r>
    </w:p>
    <w:p w14:paraId="15802EA4" w14:textId="77777777" w:rsidR="00637615" w:rsidRDefault="00637615" w:rsidP="00637615">
      <w:r>
        <w:t>Régie - AO-AMD-25-022</w:t>
      </w:r>
      <w:r>
        <w:tab/>
        <w:t>Devis</w:t>
      </w:r>
      <w:r>
        <w:tab/>
        <w:t>Document principal</w:t>
      </w:r>
      <w:r>
        <w:tab/>
        <w:t>Français</w:t>
      </w:r>
      <w:r>
        <w:tab/>
        <w:t>8 1/2 x 11 po.</w:t>
      </w:r>
      <w:r>
        <w:tab/>
        <w:t>36</w:t>
      </w:r>
      <w:r>
        <w:tab/>
      </w:r>
    </w:p>
    <w:p w14:paraId="7189FBA1" w14:textId="77777777" w:rsidR="00637615" w:rsidRDefault="00637615" w:rsidP="00637615">
      <w:r>
        <w:t>Formulaire de soumission - AO-AMD-25-022</w:t>
      </w:r>
      <w:r>
        <w:tab/>
        <w:t>Devis</w:t>
      </w:r>
      <w:r>
        <w:tab/>
        <w:t>Document principal</w:t>
      </w:r>
      <w:r>
        <w:tab/>
        <w:t>Français</w:t>
      </w:r>
      <w:r>
        <w:tab/>
        <w:t>8 1/2 x 11 po.</w:t>
      </w:r>
      <w:r>
        <w:tab/>
        <w:t>15</w:t>
      </w:r>
      <w:r>
        <w:tab/>
      </w:r>
    </w:p>
    <w:p w14:paraId="55873637" w14:textId="77777777" w:rsidR="00637615" w:rsidRDefault="00637615" w:rsidP="00637615">
      <w:r>
        <w:t>Information</w:t>
      </w:r>
    </w:p>
    <w:p w14:paraId="12D310E5" w14:textId="3F37B705" w:rsidR="006D2122" w:rsidRDefault="00637615" w:rsidP="00637615">
      <w:r>
        <w:t>Les porte-documents PDF doivent être téléchargés puis ouverts à l’aide du Lecteur Acrobat d’Adobe. Les fonctionnalités d’aperçus des navigateurs Web ne supportent habituellement pas les porte-documents PDF.</w:t>
      </w:r>
    </w:p>
    <w:sectPr w:rsidR="006D2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CE"/>
    <w:rsid w:val="00092FE5"/>
    <w:rsid w:val="002455C4"/>
    <w:rsid w:val="003B7693"/>
    <w:rsid w:val="00464F4D"/>
    <w:rsid w:val="005D64AE"/>
    <w:rsid w:val="00637615"/>
    <w:rsid w:val="006847CA"/>
    <w:rsid w:val="006D2122"/>
    <w:rsid w:val="007077EC"/>
    <w:rsid w:val="00A23861"/>
    <w:rsid w:val="00CA66CE"/>
    <w:rsid w:val="00DB3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1A9C"/>
  <w15:chartTrackingRefBased/>
  <w15:docId w15:val="{CCEDC8B5-E704-4096-888D-400B83E5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6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6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6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6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6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6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6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CE"/>
    <w:rPr>
      <w:rFonts w:eastAsiaTheme="majorEastAsia" w:cstheme="majorBidi"/>
      <w:color w:val="272727" w:themeColor="text1" w:themeTint="D8"/>
    </w:rPr>
  </w:style>
  <w:style w:type="paragraph" w:styleId="Title">
    <w:name w:val="Title"/>
    <w:basedOn w:val="Normal"/>
    <w:next w:val="Normal"/>
    <w:link w:val="TitleChar"/>
    <w:uiPriority w:val="10"/>
    <w:qFormat/>
    <w:rsid w:val="00CA6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CE"/>
    <w:pPr>
      <w:spacing w:before="160"/>
      <w:jc w:val="center"/>
    </w:pPr>
    <w:rPr>
      <w:i/>
      <w:iCs/>
      <w:color w:val="404040" w:themeColor="text1" w:themeTint="BF"/>
    </w:rPr>
  </w:style>
  <w:style w:type="character" w:customStyle="1" w:styleId="QuoteChar">
    <w:name w:val="Quote Char"/>
    <w:basedOn w:val="DefaultParagraphFont"/>
    <w:link w:val="Quote"/>
    <w:uiPriority w:val="29"/>
    <w:rsid w:val="00CA66CE"/>
    <w:rPr>
      <w:i/>
      <w:iCs/>
      <w:color w:val="404040" w:themeColor="text1" w:themeTint="BF"/>
    </w:rPr>
  </w:style>
  <w:style w:type="paragraph" w:styleId="ListParagraph">
    <w:name w:val="List Paragraph"/>
    <w:basedOn w:val="Normal"/>
    <w:uiPriority w:val="34"/>
    <w:qFormat/>
    <w:rsid w:val="00CA66CE"/>
    <w:pPr>
      <w:ind w:left="720"/>
      <w:contextualSpacing/>
    </w:pPr>
  </w:style>
  <w:style w:type="character" w:styleId="IntenseEmphasis">
    <w:name w:val="Intense Emphasis"/>
    <w:basedOn w:val="DefaultParagraphFont"/>
    <w:uiPriority w:val="21"/>
    <w:qFormat/>
    <w:rsid w:val="00CA66CE"/>
    <w:rPr>
      <w:i/>
      <w:iCs/>
      <w:color w:val="2F5496" w:themeColor="accent1" w:themeShade="BF"/>
    </w:rPr>
  </w:style>
  <w:style w:type="paragraph" w:styleId="IntenseQuote">
    <w:name w:val="Intense Quote"/>
    <w:basedOn w:val="Normal"/>
    <w:next w:val="Normal"/>
    <w:link w:val="IntenseQuoteChar"/>
    <w:uiPriority w:val="30"/>
    <w:qFormat/>
    <w:rsid w:val="00CA6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6CE"/>
    <w:rPr>
      <w:i/>
      <w:iCs/>
      <w:color w:val="2F5496" w:themeColor="accent1" w:themeShade="BF"/>
    </w:rPr>
  </w:style>
  <w:style w:type="character" w:styleId="IntenseReference">
    <w:name w:val="Intense Reference"/>
    <w:basedOn w:val="DefaultParagraphFont"/>
    <w:uiPriority w:val="32"/>
    <w:qFormat/>
    <w:rsid w:val="00CA66CE"/>
    <w:rPr>
      <w:b/>
      <w:bCs/>
      <w:smallCaps/>
      <w:color w:val="2F5496" w:themeColor="accent1" w:themeShade="BF"/>
      <w:spacing w:val="5"/>
    </w:rPr>
  </w:style>
  <w:style w:type="character" w:styleId="Hyperlink">
    <w:name w:val="Hyperlink"/>
    <w:basedOn w:val="DefaultParagraphFont"/>
    <w:uiPriority w:val="99"/>
    <w:unhideWhenUsed/>
    <w:rsid w:val="006D2122"/>
    <w:rPr>
      <w:color w:val="0563C1" w:themeColor="hyperlink"/>
      <w:u w:val="single"/>
    </w:rPr>
  </w:style>
  <w:style w:type="character" w:styleId="UnresolvedMention">
    <w:name w:val="Unresolved Mention"/>
    <w:basedOn w:val="DefaultParagraphFont"/>
    <w:uiPriority w:val="99"/>
    <w:semiHidden/>
    <w:unhideWhenUsed/>
    <w:rsid w:val="006D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o.gouv.qc.ca/avis-resultat-recherche/consulter?ItemId=112c9702-d8b2-450d-b4b6-05a4626a44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Shah</dc:creator>
  <cp:keywords/>
  <dc:description/>
  <cp:lastModifiedBy>Dhruv Shah</cp:lastModifiedBy>
  <cp:revision>3</cp:revision>
  <dcterms:created xsi:type="dcterms:W3CDTF">2025-10-04T12:38:00Z</dcterms:created>
  <dcterms:modified xsi:type="dcterms:W3CDTF">2025-10-04T12:39:00Z</dcterms:modified>
</cp:coreProperties>
</file>